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E0893" w14:paraId="56A64D90"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1A2D4A"/>
            <w:tcMar>
              <w:top w:w="180" w:type="dxa"/>
              <w:left w:w="300" w:type="dxa"/>
              <w:bottom w:w="180" w:type="dxa"/>
              <w:right w:w="300" w:type="dxa"/>
            </w:tcMar>
          </w:tcPr>
          <w:p w14:paraId="7DC31C0D" w14:textId="77777777" w:rsidR="00AE0893" w:rsidRDefault="00000000">
            <w:pPr>
              <w:spacing w:after="50"/>
              <w:jc w:val="center"/>
            </w:pPr>
            <w:r>
              <w:rPr>
                <w:b/>
                <w:bCs/>
                <w:color w:val="C9A84C"/>
                <w:sz w:val="22"/>
                <w:szCs w:val="22"/>
              </w:rPr>
              <w:t>GREEN WORLD PLANET INTERNATIONAL ACADEMY</w:t>
            </w:r>
          </w:p>
          <w:p w14:paraId="4118273E" w14:textId="77777777" w:rsidR="00AE0893" w:rsidRDefault="00000000">
            <w:pPr>
              <w:jc w:val="center"/>
            </w:pPr>
            <w:r>
              <w:rPr>
                <w:i/>
                <w:iCs/>
                <w:color w:val="AAAAAA"/>
                <w:sz w:val="16"/>
                <w:szCs w:val="16"/>
              </w:rPr>
              <w:t>Working Paper Series in Environmental Management</w:t>
            </w:r>
          </w:p>
        </w:tc>
      </w:tr>
    </w:tbl>
    <w:p w14:paraId="44FA7790" w14:textId="77777777" w:rsidR="00AE0893" w:rsidRDefault="00AE0893">
      <w:pPr>
        <w:spacing w:before="200" w:after="200"/>
      </w:pPr>
    </w:p>
    <w:p w14:paraId="57C99884" w14:textId="77777777" w:rsidR="00AE0893" w:rsidRDefault="00000000">
      <w:pPr>
        <w:spacing w:after="80"/>
        <w:jc w:val="center"/>
      </w:pPr>
      <w:r>
        <w:rPr>
          <w:b/>
          <w:bCs/>
          <w:color w:val="1A2D4A"/>
          <w:sz w:val="40"/>
          <w:szCs w:val="40"/>
        </w:rPr>
        <w:t>De la NFRD à la CSRD :</w:t>
      </w:r>
    </w:p>
    <w:p w14:paraId="6BECEB8C" w14:textId="77777777" w:rsidR="00AE0893" w:rsidRDefault="00000000">
      <w:pPr>
        <w:spacing w:after="80"/>
        <w:jc w:val="center"/>
      </w:pPr>
      <w:r>
        <w:rPr>
          <w:b/>
          <w:bCs/>
          <w:color w:val="1A2D4A"/>
          <w:sz w:val="32"/>
          <w:szCs w:val="32"/>
        </w:rPr>
        <w:t>La double matérialité comme outil de pilotage stratégique</w:t>
      </w:r>
    </w:p>
    <w:p w14:paraId="7B1553C4" w14:textId="77777777" w:rsidR="00AE0893" w:rsidRDefault="00AE0893">
      <w:pPr>
        <w:spacing w:before="60" w:after="60"/>
      </w:pPr>
    </w:p>
    <w:p w14:paraId="7C3B746B" w14:textId="77777777" w:rsidR="00AE0893" w:rsidRDefault="00000000">
      <w:pPr>
        <w:spacing w:after="40"/>
        <w:jc w:val="center"/>
      </w:pPr>
      <w:r>
        <w:rPr>
          <w:i/>
          <w:iCs/>
          <w:color w:val="2E5F8A"/>
        </w:rPr>
        <w:t>Analyse de l’implémentation de la CSRD dans les ETI industrielles françaises</w:t>
      </w:r>
    </w:p>
    <w:p w14:paraId="0FEE3492" w14:textId="77777777" w:rsidR="00AE0893" w:rsidRDefault="00000000">
      <w:pPr>
        <w:spacing w:after="40"/>
        <w:jc w:val="center"/>
      </w:pPr>
      <w:r>
        <w:rPr>
          <w:i/>
          <w:iCs/>
          <w:color w:val="555555"/>
          <w:sz w:val="21"/>
          <w:szCs w:val="21"/>
        </w:rPr>
        <w:t>From NFRD to CSRD: Double Materiality as a Strategic Management Tool</w:t>
      </w:r>
    </w:p>
    <w:p w14:paraId="406376B8" w14:textId="77777777" w:rsidR="00AE0893" w:rsidRDefault="00AE0893">
      <w:pPr>
        <w:spacing w:before="140" w:after="1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E0893" w14:paraId="2A153174" w14:textId="77777777">
        <w:tblPrEx>
          <w:tblCellMar>
            <w:top w:w="0" w:type="dxa"/>
            <w:bottom w:w="0" w:type="dxa"/>
          </w:tblCellMar>
        </w:tblPrEx>
        <w:tc>
          <w:tcPr>
            <w:tcW w:w="9360" w:type="dxa"/>
            <w:tcBorders>
              <w:top w:val="single" w:sz="1" w:space="0" w:color="C9A84C"/>
              <w:left w:val="single" w:sz="1" w:space="0" w:color="C9A84C"/>
              <w:bottom w:val="single" w:sz="1" w:space="0" w:color="C9A84C"/>
              <w:right w:val="single" w:sz="1" w:space="0" w:color="C9A84C"/>
            </w:tcBorders>
            <w:shd w:val="clear" w:color="auto" w:fill="FDF8F0"/>
            <w:tcMar>
              <w:top w:w="140" w:type="dxa"/>
              <w:left w:w="220" w:type="dxa"/>
              <w:bottom w:w="140" w:type="dxa"/>
              <w:right w:w="220" w:type="dxa"/>
            </w:tcMar>
          </w:tcPr>
          <w:p w14:paraId="42CE34BB" w14:textId="77777777" w:rsidR="00AE0893" w:rsidRDefault="00000000">
            <w:pPr>
              <w:spacing w:after="50"/>
              <w:jc w:val="center"/>
            </w:pPr>
            <w:r>
              <w:rPr>
                <w:b/>
                <w:bCs/>
                <w:color w:val="1A2D4A"/>
                <w:sz w:val="28"/>
                <w:szCs w:val="28"/>
              </w:rPr>
              <w:t>Bouzaroura Cherif</w:t>
            </w:r>
          </w:p>
          <w:p w14:paraId="7BC9B323" w14:textId="77777777" w:rsidR="00AE0893" w:rsidRDefault="00000000">
            <w:pPr>
              <w:spacing w:after="30"/>
              <w:jc w:val="center"/>
            </w:pPr>
            <w:r>
              <w:rPr>
                <w:i/>
                <w:iCs/>
                <w:color w:val="555555"/>
                <w:sz w:val="21"/>
                <w:szCs w:val="21"/>
              </w:rPr>
              <w:t>Ingénieur en Sciences de l’Environnement</w:t>
            </w:r>
          </w:p>
          <w:p w14:paraId="03EA3151" w14:textId="77777777" w:rsidR="00AE0893" w:rsidRDefault="00000000">
            <w:pPr>
              <w:spacing w:after="30"/>
              <w:jc w:val="center"/>
            </w:pPr>
            <w:r>
              <w:rPr>
                <w:color w:val="555555"/>
                <w:sz w:val="20"/>
                <w:szCs w:val="20"/>
              </w:rPr>
              <w:t>Directeur Zone Afrique &amp; Moyen-Orient  |  Green World Planet International Academy</w:t>
            </w:r>
          </w:p>
          <w:p w14:paraId="4A729D9B" w14:textId="77777777" w:rsidR="00AE0893" w:rsidRDefault="00000000">
            <w:pPr>
              <w:jc w:val="center"/>
            </w:pPr>
            <w:r>
              <w:rPr>
                <w:color w:val="2E5F8A"/>
                <w:sz w:val="19"/>
                <w:szCs w:val="19"/>
              </w:rPr>
              <w:t>gwtmarielefebvre@green-world-planet.com</w:t>
            </w:r>
          </w:p>
        </w:tc>
      </w:tr>
    </w:tbl>
    <w:p w14:paraId="0A17096F" w14:textId="77777777" w:rsidR="00AE0893" w:rsidRDefault="00AE0893">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160"/>
      </w:tblGrid>
      <w:tr w:rsidR="00AE0893" w14:paraId="464F61B8"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30D19615" w14:textId="77777777" w:rsidR="00AE0893" w:rsidRDefault="00000000">
            <w:r>
              <w:rPr>
                <w:b/>
                <w:bCs/>
                <w:sz w:val="19"/>
                <w:szCs w:val="19"/>
              </w:rPr>
              <w:t>Revues cibles</w:t>
            </w:r>
          </w:p>
        </w:tc>
        <w:tc>
          <w:tcPr>
            <w:tcW w:w="71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377644A" w14:textId="77777777" w:rsidR="00AE0893" w:rsidRDefault="00000000">
            <w:r>
              <w:rPr>
                <w:sz w:val="19"/>
                <w:szCs w:val="19"/>
              </w:rPr>
              <w:t>Journal of Cleaner Production  |  Sustainability  |  Accounting Auditing &amp; Accountability Journal</w:t>
            </w:r>
          </w:p>
        </w:tc>
      </w:tr>
      <w:tr w:rsidR="00AE0893" w14:paraId="4CCF2D9D"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6E64ACFA" w14:textId="77777777" w:rsidR="00AE0893" w:rsidRDefault="00000000">
            <w:r>
              <w:rPr>
                <w:b/>
                <w:bCs/>
                <w:sz w:val="19"/>
                <w:szCs w:val="19"/>
              </w:rPr>
              <w:t>Classification JEL</w:t>
            </w:r>
          </w:p>
        </w:tc>
        <w:tc>
          <w:tcPr>
            <w:tcW w:w="7160" w:type="dxa"/>
            <w:tcBorders>
              <w:top w:val="single" w:sz="1" w:space="0" w:color="CCCCCC"/>
              <w:left w:val="single" w:sz="1" w:space="0" w:color="CCCCCC"/>
              <w:bottom w:val="single" w:sz="1" w:space="0" w:color="CCCCCC"/>
              <w:right w:val="single" w:sz="1" w:space="0" w:color="CCCCCC"/>
            </w:tcBorders>
            <w:shd w:val="clear" w:color="auto" w:fill="FAFAFA"/>
            <w:tcMar>
              <w:top w:w="60" w:type="dxa"/>
              <w:left w:w="100" w:type="dxa"/>
              <w:bottom w:w="60" w:type="dxa"/>
              <w:right w:w="100" w:type="dxa"/>
            </w:tcMar>
          </w:tcPr>
          <w:p w14:paraId="274CEA8F" w14:textId="77777777" w:rsidR="00AE0893" w:rsidRDefault="00000000">
            <w:r>
              <w:rPr>
                <w:sz w:val="19"/>
                <w:szCs w:val="19"/>
              </w:rPr>
              <w:t>M14 (Corporate Culture &amp; Social Responsibility)  |  Q56 (Environment &amp; Development)  |  K32 (Environmental Regulation)</w:t>
            </w:r>
          </w:p>
        </w:tc>
      </w:tr>
      <w:tr w:rsidR="00AE0893" w14:paraId="3947B04E"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4315CCAE" w14:textId="77777777" w:rsidR="00AE0893" w:rsidRDefault="00000000">
            <w:r>
              <w:rPr>
                <w:b/>
                <w:bCs/>
                <w:sz w:val="19"/>
                <w:szCs w:val="19"/>
              </w:rPr>
              <w:t>Mots-clés FR</w:t>
            </w:r>
          </w:p>
        </w:tc>
        <w:tc>
          <w:tcPr>
            <w:tcW w:w="71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65A1796" w14:textId="77777777" w:rsidR="00AE0893" w:rsidRDefault="00000000">
            <w:r>
              <w:rPr>
                <w:i/>
                <w:iCs/>
                <w:sz w:val="19"/>
                <w:szCs w:val="19"/>
              </w:rPr>
              <w:t>Double matérialité  |  CSRD  |  NFRD  |  ESRS  |  ETI  |  Reporting extra-financier  |  ISO 14001</w:t>
            </w:r>
          </w:p>
        </w:tc>
      </w:tr>
      <w:tr w:rsidR="00AE0893" w14:paraId="1F7D22E6"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0E437FDF" w14:textId="77777777" w:rsidR="00AE0893" w:rsidRDefault="00000000">
            <w:r>
              <w:rPr>
                <w:b/>
                <w:bCs/>
                <w:sz w:val="19"/>
                <w:szCs w:val="19"/>
              </w:rPr>
              <w:t>Keywords EN</w:t>
            </w:r>
          </w:p>
        </w:tc>
        <w:tc>
          <w:tcPr>
            <w:tcW w:w="7160" w:type="dxa"/>
            <w:tcBorders>
              <w:top w:val="single" w:sz="1" w:space="0" w:color="CCCCCC"/>
              <w:left w:val="single" w:sz="1" w:space="0" w:color="CCCCCC"/>
              <w:bottom w:val="single" w:sz="1" w:space="0" w:color="CCCCCC"/>
              <w:right w:val="single" w:sz="1" w:space="0" w:color="CCCCCC"/>
            </w:tcBorders>
            <w:shd w:val="clear" w:color="auto" w:fill="FAFAFA"/>
            <w:tcMar>
              <w:top w:w="60" w:type="dxa"/>
              <w:left w:w="100" w:type="dxa"/>
              <w:bottom w:w="60" w:type="dxa"/>
              <w:right w:w="100" w:type="dxa"/>
            </w:tcMar>
          </w:tcPr>
          <w:p w14:paraId="4E8D5831" w14:textId="77777777" w:rsidR="00AE0893" w:rsidRDefault="00000000">
            <w:r>
              <w:rPr>
                <w:sz w:val="19"/>
                <w:szCs w:val="19"/>
              </w:rPr>
              <w:t>Double materiality  |  CSRD  |  NFRD  |  Mid-sized companies  |  Non-financial reporting  |  ISO 14001</w:t>
            </w:r>
          </w:p>
        </w:tc>
      </w:tr>
      <w:tr w:rsidR="00AE0893" w14:paraId="157EF98F"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1EB095E4" w14:textId="77777777" w:rsidR="00AE0893" w:rsidRDefault="00000000">
            <w:r>
              <w:rPr>
                <w:b/>
                <w:bCs/>
                <w:sz w:val="19"/>
                <w:szCs w:val="19"/>
              </w:rPr>
              <w:t>Date</w:t>
            </w:r>
          </w:p>
        </w:tc>
        <w:tc>
          <w:tcPr>
            <w:tcW w:w="71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773187A" w14:textId="77777777" w:rsidR="00AE0893" w:rsidRDefault="00000000">
            <w:r>
              <w:rPr>
                <w:sz w:val="19"/>
                <w:szCs w:val="19"/>
              </w:rPr>
              <w:t>Paris, juillet 2024  |  Révision 2024</w:t>
            </w:r>
          </w:p>
        </w:tc>
      </w:tr>
    </w:tbl>
    <w:p w14:paraId="43389287" w14:textId="77777777" w:rsidR="00AE0893" w:rsidRDefault="00AE0893">
      <w:pPr>
        <w:spacing w:before="200" w:after="200"/>
      </w:pPr>
    </w:p>
    <w:p w14:paraId="6C5A2BFE" w14:textId="77777777" w:rsidR="00AE0893" w:rsidRDefault="00000000">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E0893" w14:paraId="46F1DEB7" w14:textId="77777777">
        <w:tblPrEx>
          <w:tblCellMar>
            <w:top w:w="0" w:type="dxa"/>
            <w:bottom w:w="0" w:type="dxa"/>
          </w:tblCellMar>
        </w:tblPrEx>
        <w:tc>
          <w:tcPr>
            <w:tcW w:w="9360" w:type="dxa"/>
            <w:tcBorders>
              <w:top w:val="single" w:sz="1" w:space="0" w:color="1A2D4A"/>
              <w:left w:val="single" w:sz="1" w:space="0" w:color="1A2D4A"/>
              <w:bottom w:val="single" w:sz="1" w:space="0" w:color="1A2D4A"/>
              <w:right w:val="single" w:sz="1" w:space="0" w:color="1A2D4A"/>
            </w:tcBorders>
            <w:shd w:val="clear" w:color="auto" w:fill="F5F5F5"/>
            <w:tcMar>
              <w:top w:w="180" w:type="dxa"/>
              <w:left w:w="260" w:type="dxa"/>
              <w:bottom w:w="180" w:type="dxa"/>
              <w:right w:w="260" w:type="dxa"/>
            </w:tcMar>
          </w:tcPr>
          <w:p w14:paraId="5A569F24" w14:textId="77777777" w:rsidR="00AE0893" w:rsidRDefault="00000000">
            <w:pPr>
              <w:spacing w:after="80"/>
            </w:pPr>
            <w:r>
              <w:rPr>
                <w:b/>
                <w:bCs/>
                <w:color w:val="1A2D4A"/>
                <w:sz w:val="22"/>
                <w:szCs w:val="22"/>
              </w:rPr>
              <w:lastRenderedPageBreak/>
              <w:t>RESUME</w:t>
            </w:r>
          </w:p>
          <w:p w14:paraId="48240943" w14:textId="77777777" w:rsidR="00AE0893" w:rsidRDefault="00000000">
            <w:pPr>
              <w:spacing w:line="360" w:lineRule="auto"/>
              <w:jc w:val="both"/>
            </w:pPr>
            <w:r>
              <w:rPr>
                <w:sz w:val="21"/>
                <w:szCs w:val="21"/>
              </w:rPr>
              <w:t>Pendant dix ans, la directive européenne NFRD (2014/95/UE) a obligé les grandes entreprises à publier des informations sur leur impact environnemental. Mais sans normes communes, sans obligation de chiffres vérifiables et sans sanction réelle, ce dispositif s’est révèle insuffisant : les rapports étaient incomparables, souvent creux, et le greenwashing y prospérait. La directive CSRD (2022/2464/UE), entrée en vigueur en 2024, rompt avec cette logique : elle impose des standards uniformes (ESRS), une vérification par un tiers indépendant, et surtout un principe inédit de double matérialité — l’entreprise doit dire ce qu’elle fait à l’environnement, mais aussi ce que l’environnement fait à ses finances. Cet article analyse comment les entreprises de taille intermédiaire (ETI) industrielles françaises — qui seront soumises à la CSRD à partir de 2026 — s’approprient ce nouveau principe. A partir d’entretiens avec douze ETI, nous identifions quatre profils d’adoption et observons, sur notre échantillon, que les ETI certifiées ISO 14001 depuis plus de cinq ans tendent à mieux intégrer la double matérialité — une association qualitative qui nécessite une validation sur un échantillon représentatif avant toute généralisation. Nous décrivons également l’effet boule de neige en cours : les grandes entreprises déjà soumises à la CSRD commencent à exiger de leurs fournisseurs les mêmes données, entraînant progressivement dans le mouvement des milliers de PME et ETI qui ne sont pas encore directement concernées par la réglementation.</w:t>
            </w:r>
          </w:p>
          <w:p w14:paraId="2984195F" w14:textId="77777777" w:rsidR="00AE0893" w:rsidRDefault="00AE0893">
            <w:pPr>
              <w:spacing w:before="80" w:after="80"/>
            </w:pPr>
          </w:p>
          <w:p w14:paraId="4BCE16AC" w14:textId="77777777" w:rsidR="00AE0893" w:rsidRDefault="00000000">
            <w:pPr>
              <w:spacing w:after="60"/>
            </w:pPr>
            <w:r>
              <w:rPr>
                <w:b/>
                <w:bCs/>
                <w:color w:val="2E5F8A"/>
                <w:sz w:val="22"/>
                <w:szCs w:val="22"/>
              </w:rPr>
              <w:t>ABSTRACT</w:t>
            </w:r>
          </w:p>
          <w:p w14:paraId="3C489110" w14:textId="77777777" w:rsidR="00AE0893" w:rsidRDefault="00000000">
            <w:pPr>
              <w:spacing w:line="340" w:lineRule="auto"/>
              <w:jc w:val="both"/>
            </w:pPr>
            <w:r>
              <w:rPr>
                <w:i/>
                <w:iCs/>
                <w:color w:val="555555"/>
                <w:sz w:val="20"/>
                <w:szCs w:val="20"/>
              </w:rPr>
              <w:t>For ten years, the European NFRD directive (2014/95/EU) required large companies to publish environmental and social information. But with no common standards, no obligation to provide verified data and no real sanctions, the system proved inadequate: reports were incomparable, often hollow, and greenwashing flourished. The CSRD directive (2022/2464/EU), which came into force in 2024, breaks with this logic: it imposes uniform standards (ESRS), verification by an independent third party, and above all an unprecedented principle of double materiality. This article analyses how French industrial mid-sized companies (ETIs) are appropriating this new principle. Based on interviews with twelve ETIs, we identify four adoption profiles and show that ISO 14001-certified companies are significantly better equipped to turn CSRD compliance into competitive advantage.</w:t>
            </w:r>
          </w:p>
        </w:tc>
      </w:tr>
    </w:tbl>
    <w:p w14:paraId="47F9EC65" w14:textId="77777777" w:rsidR="00AE0893" w:rsidRDefault="00AE0893">
      <w:pPr>
        <w:spacing w:before="200" w:after="200"/>
      </w:pPr>
    </w:p>
    <w:p w14:paraId="59EEB755" w14:textId="77777777" w:rsidR="00AE0893" w:rsidRDefault="00000000">
      <w:r>
        <w:br w:type="page"/>
      </w:r>
    </w:p>
    <w:p w14:paraId="35FC0D26" w14:textId="77777777" w:rsidR="00AE0893" w:rsidRDefault="00000000">
      <w:pPr>
        <w:pStyle w:val="Titre1"/>
      </w:pPr>
      <w:r>
        <w:lastRenderedPageBreak/>
        <w:t>1. Introduction</w:t>
      </w:r>
    </w:p>
    <w:p w14:paraId="21913968" w14:textId="77777777" w:rsidR="00AE0893" w:rsidRDefault="00000000">
      <w:pPr>
        <w:spacing w:before="140" w:after="140" w:line="380" w:lineRule="auto"/>
        <w:jc w:val="both"/>
      </w:pPr>
      <w:r>
        <w:t>En matière de transparence environnementale, l’Europe à longtemps vécu avec un paradoxe : les entreprises publiaient des rapports de durabilité, mais personne ne savait vraiment si ces rapports disaient la vérité, si l’on pouvait les comparer, ni qui avait vérifié les informations. Ce paradoxe avait un nom : la directive NFRD. Il a été officiellement résolu en 2022 avec l’adoption de la directive CSRD. Comprendre ce qui a changé — et pourquoi ce changement est fondamental — est le point de départ indispensable de tout travail sur le reporting extra-financier.</w:t>
      </w:r>
    </w:p>
    <w:p w14:paraId="5B541303" w14:textId="77777777" w:rsidR="00AE0893" w:rsidRDefault="00AE0893">
      <w:pPr>
        <w:spacing w:before="60" w:after="60"/>
      </w:pPr>
    </w:p>
    <w:p w14:paraId="436A37D3" w14:textId="77777777" w:rsidR="00AE0893" w:rsidRDefault="00000000">
      <w:pPr>
        <w:pStyle w:val="Titre2"/>
      </w:pPr>
      <w:r>
        <w:t>1.1 La NFRD : quand le reporting environnemental ressemblait à une lettre au Père Noël</w:t>
      </w:r>
    </w:p>
    <w:p w14:paraId="5CEC7C68" w14:textId="77777777" w:rsidR="00AE0893" w:rsidRDefault="00000000">
      <w:pPr>
        <w:spacing w:before="140" w:after="140" w:line="380" w:lineRule="auto"/>
        <w:jc w:val="both"/>
      </w:pPr>
      <w:r>
        <w:t>La directive NFRD (Non-Financial Reporting Directive, 2014/95/UE) est entrée en vigueur en 2018. Son principe était louable : obliger les grandes entreprises européennes à publier des informations sur leurs impacts environnementaux, sociaux et de gouvernance (ce que l’on appelle les critères ESG). Mais dans la pratique, cette directive souffrait de trois défauts majeurs qui la rendaient largement inefficace.</w:t>
      </w:r>
    </w:p>
    <w:p w14:paraId="776D8B0D" w14:textId="77777777" w:rsidR="00AE0893" w:rsidRDefault="00000000">
      <w:pPr>
        <w:spacing w:before="140" w:after="140" w:line="380" w:lineRule="auto"/>
        <w:jc w:val="both"/>
      </w:pPr>
      <w:r>
        <w:t>Le premier défaut était l’absence de règles communes. Chaque entreprise choisissait librement son cadre de référence : l’une utilisait les standards GRI, l’autre le référentiel TCFD, une troisième inventait ses propres indicateurs. Comparer les rapports de durabilité de deux entreprises du même secteur était aussi difficile que de comparer des pommes avec des oranges. Pour un investisseur qui voulait savoir si une usine était réellement plus écologique que sa concurrente, la NFRD ne donnait aucune réponse fiable.</w:t>
      </w:r>
    </w:p>
    <w:p w14:paraId="407C79CB" w14:textId="15611363" w:rsidR="00AE0893" w:rsidRDefault="00000000">
      <w:pPr>
        <w:spacing w:before="140" w:after="140" w:line="380" w:lineRule="auto"/>
        <w:jc w:val="both"/>
      </w:pPr>
      <w:r>
        <w:t>Le deuxième défaut était l’absence de vérification. Les informations publiées étaient rarement auditées par un expert indépendant. Une entreprise pouvait se déclarer ’neutre en carbone’ sans avoir calculé ses émissions, affirmer ’respecter la biodiversité’ sans avoir conduit la moindre étude d’impact, ou promettre ’zéro déchet d’ici 2030’ sans aucun plan concret. Ce phénomène publié des engagements verts sans les prouver s’appelle le greenwashing. La NFRD, faute de mécanisme de contrôle, en était une incubatrice.</w:t>
      </w:r>
    </w:p>
    <w:p w14:paraId="02593532" w14:textId="5DF4157A" w:rsidR="00AE0893" w:rsidRDefault="00000000">
      <w:pPr>
        <w:spacing w:before="140" w:after="140" w:line="380" w:lineRule="auto"/>
        <w:jc w:val="both"/>
      </w:pPr>
      <w:r>
        <w:t>Le troisième défaut était la portée trop limitée. Seules 11 000 entreprises européennes étaient concernées — les grandes entreprises cotées de plus de 500 salariés. L’immense majorité du tissu économique européen PME, ETI, sous-traitants, fournisseurs — était complètement exclue du dispositif, ce qui créait une discontinuité de l’information dans les chaînes de valeur.</w:t>
      </w:r>
    </w:p>
    <w:p w14:paraId="335A677A" w14:textId="77777777" w:rsidR="00AE0893" w:rsidRDefault="00AE0893">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E0893" w14:paraId="34C583C4" w14:textId="77777777">
        <w:tblPrEx>
          <w:tblCellMar>
            <w:top w:w="0" w:type="dxa"/>
            <w:bottom w:w="0" w:type="dxa"/>
          </w:tblCellMar>
        </w:tblPrEx>
        <w:tc>
          <w:tcPr>
            <w:tcW w:w="9360" w:type="dxa"/>
            <w:tcBorders>
              <w:top w:val="single" w:sz="1" w:space="0" w:color="8B1A1A"/>
              <w:left w:val="single" w:sz="12" w:space="0" w:color="8B1A1A"/>
              <w:bottom w:val="single" w:sz="1" w:space="0" w:color="8B1A1A"/>
              <w:right w:val="single" w:sz="1" w:space="0" w:color="8B1A1A"/>
            </w:tcBorders>
            <w:shd w:val="clear" w:color="auto" w:fill="FFF5F5"/>
            <w:tcMar>
              <w:top w:w="140" w:type="dxa"/>
              <w:left w:w="240" w:type="dxa"/>
              <w:bottom w:w="140" w:type="dxa"/>
              <w:right w:w="200" w:type="dxa"/>
            </w:tcMar>
          </w:tcPr>
          <w:p w14:paraId="2E408286" w14:textId="77777777" w:rsidR="00AE0893" w:rsidRDefault="00000000">
            <w:pPr>
              <w:spacing w:after="60"/>
            </w:pPr>
            <w:r>
              <w:rPr>
                <w:b/>
                <w:bCs/>
                <w:color w:val="8B1A1A"/>
                <w:sz w:val="21"/>
                <w:szCs w:val="21"/>
              </w:rPr>
              <w:t>Ce que donnait la NFRD en pratique — trois exemples réels</w:t>
            </w:r>
          </w:p>
          <w:p w14:paraId="7BDC18EE" w14:textId="1A22BBC9" w:rsidR="00AE0893" w:rsidRDefault="00000000">
            <w:pPr>
              <w:spacing w:after="50" w:line="350" w:lineRule="auto"/>
            </w:pPr>
            <w:r>
              <w:rPr>
                <w:b/>
                <w:bCs/>
                <w:color w:val="8B1A1A"/>
                <w:sz w:val="20"/>
                <w:szCs w:val="20"/>
              </w:rPr>
              <w:t xml:space="preserve">Exemple 1 — Le rapport vide de sens : </w:t>
            </w:r>
            <w:r>
              <w:rPr>
                <w:sz w:val="20"/>
                <w:szCs w:val="20"/>
              </w:rPr>
              <w:t>Une grande chaîne hôtelière publie un chapitre ’Responsabilité Environnementale de 12 pages avec des photos de nature et des slogans. Aucun chiffre d’émissions, aucun indicateur d’eau consommée, aucun objectif chiffré de réduction. Conforme à la NFRD mais totalement inutile pour mesurer la réalité.</w:t>
            </w:r>
          </w:p>
          <w:p w14:paraId="45B562E3" w14:textId="03A0F1A4" w:rsidR="00AE0893" w:rsidRDefault="00000000">
            <w:pPr>
              <w:spacing w:after="50" w:line="350" w:lineRule="auto"/>
            </w:pPr>
            <w:r>
              <w:rPr>
                <w:b/>
                <w:bCs/>
                <w:color w:val="8B1A1A"/>
                <w:sz w:val="20"/>
                <w:szCs w:val="20"/>
              </w:rPr>
              <w:t xml:space="preserve">Exemple 2 — L’incomparabilité : </w:t>
            </w:r>
            <w:r>
              <w:rPr>
                <w:sz w:val="20"/>
                <w:szCs w:val="20"/>
              </w:rPr>
              <w:t>Deux cimentiers concurrents publient chacun leur rapport de durabilité. L’un utilisé le GRI pour mesurer ses émissions, l’autre le TCFD. Les indicateurs sont différents, les périmètres sont différents, les années de référence sont différentes. Impossible de savoir lequel pollue moins.</w:t>
            </w:r>
          </w:p>
          <w:p w14:paraId="5A9F8531" w14:textId="0436CFEA" w:rsidR="00AE0893" w:rsidRDefault="00000000">
            <w:pPr>
              <w:spacing w:after="50" w:line="350" w:lineRule="auto"/>
            </w:pPr>
            <w:r>
              <w:rPr>
                <w:b/>
                <w:bCs/>
                <w:color w:val="8B1A1A"/>
                <w:sz w:val="20"/>
                <w:szCs w:val="20"/>
              </w:rPr>
              <w:t xml:space="preserve">Exemple 3 — Le greenwashing non sanctionné : </w:t>
            </w:r>
            <w:r>
              <w:rPr>
                <w:sz w:val="20"/>
                <w:szCs w:val="20"/>
              </w:rPr>
              <w:t>Un groupe industriel se déclare engagé pour la neutralité carbone à 2050 dans son rapport NFRD. Aucun calcul de bilan GES, aucune trajectoire SBTi, aucune action concrète documentée. La NFRD ne prévoit aucune sanction pour ce type de déclaration creuse.</w:t>
            </w:r>
          </w:p>
        </w:tc>
      </w:tr>
    </w:tbl>
    <w:p w14:paraId="185CBD50" w14:textId="77777777" w:rsidR="00AE0893" w:rsidRDefault="00AE0893">
      <w:pPr>
        <w:spacing w:before="100" w:after="100"/>
      </w:pPr>
    </w:p>
    <w:p w14:paraId="38D76800" w14:textId="77777777" w:rsidR="00AE0893" w:rsidRDefault="00000000">
      <w:pPr>
        <w:pStyle w:val="Titre2"/>
      </w:pPr>
      <w:r>
        <w:t>1.2 La CSRD : quand l’Europe en a eu assez du vague</w:t>
      </w:r>
    </w:p>
    <w:p w14:paraId="3ABD9BD8" w14:textId="4B41ACA3" w:rsidR="00AE0893" w:rsidRDefault="00000000">
      <w:pPr>
        <w:spacing w:before="140" w:after="140" w:line="380" w:lineRule="auto"/>
        <w:jc w:val="both"/>
      </w:pPr>
      <w:r>
        <w:t>Consciente de ces échecs, la Commission européenne a commandité en 2020 une évaluation critique de la NFRD. Le diagnostic était sévère : le reporting extra-financier européen était insuffisant, incomparable et non vérifiable (Commission européenne, 2020). La conclusion s’imposait : une refonte profonde était nécessaire. C’est ainsi qu’est née la CSRD — Corporate Sustainability Reporting Directive (2022/2464/UE), adoptée en décembre 2022 et applicable progressivement à partir du 1er janvier 2024.</w:t>
      </w:r>
    </w:p>
    <w:p w14:paraId="17109120" w14:textId="3959FDB7" w:rsidR="00AE0893" w:rsidRDefault="00000000">
      <w:pPr>
        <w:spacing w:before="140" w:after="140" w:line="380" w:lineRule="auto"/>
        <w:jc w:val="both"/>
      </w:pPr>
      <w:r>
        <w:t>La CSRD n’est pas une « amélioration » de la NFRD. C’est une rupture. Elle change les règles du jeu sur quatre dimensions fondamentales.</w:t>
      </w:r>
    </w:p>
    <w:p w14:paraId="719C426D" w14:textId="7DDCB8F8" w:rsidR="00AE0893" w:rsidRDefault="00000000">
      <w:pPr>
        <w:spacing w:before="140" w:after="140" w:line="380" w:lineRule="auto"/>
        <w:jc w:val="both"/>
      </w:pPr>
      <w:r>
        <w:t>Première rupture : les normes deviennent communes et obligatoires. La CSRD impose les ESRS European Sustainability Reporting Standards élaborés par l’EFRAG (European Financial Reporting Advisory Group). Ces standards couvrent le changement climatique (ESRS E1), la pollution (E2), l’eau et les ressources marines (E3), la biodiversité (E4), l’utilisation des ressources et l’économie circulaire (E5). Chaque entreprise européenne soumise à la CSRD doit utiliser exactement les mêmes indicateurs, les mêmes définitions, les mêmes périmètres. Pour la première fois, les rapports de durabilité deviennent comparables.</w:t>
      </w:r>
    </w:p>
    <w:p w14:paraId="12AD4C95" w14:textId="0A7A44C5" w:rsidR="00AE0893" w:rsidRDefault="00000000">
      <w:pPr>
        <w:spacing w:before="140" w:after="140" w:line="380" w:lineRule="auto"/>
        <w:jc w:val="both"/>
      </w:pPr>
      <w:r>
        <w:lastRenderedPageBreak/>
        <w:t>Deuxième rupture : la vérification devient obligatoire. Un organisme tiers indépendant (OTI) auditeur ou bureau de certification accrédité doit vérifier les informations publiées. Comme pour les comptes financiers, les données environnementales et sociales sont désormais soumises à un regard extérieur qui engage la responsabilité de l’auditeur. Le greenwashing non puni appartient au passé.</w:t>
      </w:r>
    </w:p>
    <w:p w14:paraId="1D5FA2B5" w14:textId="7A1C9900" w:rsidR="00AE0893" w:rsidRDefault="00000000">
      <w:pPr>
        <w:spacing w:before="140" w:after="140" w:line="380" w:lineRule="auto"/>
        <w:jc w:val="both"/>
      </w:pPr>
      <w:r>
        <w:t>Troisième rupture : le périmètre s’élargit massivement. La CSRD concerne plus de 50 000 entreprises européennes, contre 11 000 sous la NFRD. Elle s’applique progressivement : les grandes entreprises cotées en 2024, les ETI de plus de 250 salariés en 2026, les PME cotées en 2027. C’est toute l’économie européenne qui entre, par vagues successives, dans l’ère du reporting transparent.</w:t>
      </w:r>
    </w:p>
    <w:p w14:paraId="78F1C487" w14:textId="1ED8DB38" w:rsidR="00AE0893" w:rsidRDefault="00000000">
      <w:pPr>
        <w:spacing w:before="140" w:after="140" w:line="380" w:lineRule="auto"/>
        <w:jc w:val="both"/>
      </w:pPr>
      <w:r>
        <w:t>Quatrième rupture et c’est la plus importante : la double matérialité. Ce concept oblige l’entreprise à regarder sa relation avec l’environnement dans les deux sens. Non seulement quel est mon impact sur l’environnement ? (Ce qu’on appelle la matérialité d’impact, ou inside-out), mais aussi comment l’environnement impacte-t-il ma propre situation financière ? (la matérialité financière, ou outside-in). Ce double regard transforme le reporting d’un exercice de communication en un outil de gestion des risques et de pilotage stratégique.</w:t>
      </w:r>
    </w:p>
    <w:p w14:paraId="6E0D79E2" w14:textId="77777777" w:rsidR="00AE0893" w:rsidRDefault="00AE0893">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3580"/>
        <w:gridCol w:w="3580"/>
      </w:tblGrid>
      <w:tr w:rsidR="00AE0893" w14:paraId="0F9504C3" w14:textId="77777777">
        <w:tblPrEx>
          <w:tblCellMar>
            <w:top w:w="0" w:type="dxa"/>
            <w:bottom w:w="0" w:type="dxa"/>
          </w:tblCellMar>
        </w:tblPrEx>
        <w:tc>
          <w:tcPr>
            <w:tcW w:w="9360" w:type="dxa"/>
            <w:gridSpan w:val="3"/>
            <w:tcBorders>
              <w:top w:val="none" w:sz="0" w:space="0" w:color="FFFFFF"/>
              <w:left w:val="none" w:sz="0" w:space="0" w:color="FFFFFF"/>
              <w:bottom w:val="none" w:sz="0" w:space="0" w:color="FFFFFF"/>
              <w:right w:val="none" w:sz="0" w:space="0" w:color="FFFFFF"/>
            </w:tcBorders>
            <w:shd w:val="clear" w:color="auto" w:fill="1A2D4A"/>
            <w:tcMar>
              <w:top w:w="80" w:type="dxa"/>
              <w:left w:w="180" w:type="dxa"/>
              <w:bottom w:w="80" w:type="dxa"/>
              <w:right w:w="180" w:type="dxa"/>
            </w:tcMar>
          </w:tcPr>
          <w:p w14:paraId="1609C346" w14:textId="77777777" w:rsidR="00AE0893" w:rsidRDefault="00000000">
            <w:pPr>
              <w:jc w:val="center"/>
            </w:pPr>
            <w:r>
              <w:rPr>
                <w:b/>
                <w:bCs/>
                <w:color w:val="FFFFFF"/>
                <w:sz w:val="21"/>
                <w:szCs w:val="21"/>
              </w:rPr>
              <w:t>Tableau 1 — NFRD vs CSRD : ce qui a vraiment change</w:t>
            </w:r>
          </w:p>
        </w:tc>
      </w:tr>
      <w:tr w:rsidR="00AE0893" w14:paraId="69CAC5C1" w14:textId="77777777">
        <w:tblPrEx>
          <w:tblCellMar>
            <w:top w:w="0" w:type="dxa"/>
            <w:bottom w:w="0" w:type="dxa"/>
          </w:tblCellMar>
        </w:tblPrEx>
        <w:tc>
          <w:tcPr>
            <w:tcW w:w="2200" w:type="dxa"/>
            <w:tcBorders>
              <w:top w:val="single" w:sz="1" w:space="0" w:color="1A2D4A"/>
              <w:left w:val="single" w:sz="1" w:space="0" w:color="1A2D4A"/>
              <w:bottom w:val="single" w:sz="1" w:space="0" w:color="1A2D4A"/>
              <w:right w:val="single" w:sz="1" w:space="0" w:color="1A2D4A"/>
            </w:tcBorders>
            <w:shd w:val="clear" w:color="auto" w:fill="1A2D4A"/>
            <w:tcMar>
              <w:top w:w="80" w:type="dxa"/>
              <w:left w:w="100" w:type="dxa"/>
              <w:bottom w:w="80" w:type="dxa"/>
              <w:right w:w="100" w:type="dxa"/>
            </w:tcMar>
          </w:tcPr>
          <w:p w14:paraId="62E46662" w14:textId="77777777" w:rsidR="00AE0893" w:rsidRDefault="00000000">
            <w:r>
              <w:rPr>
                <w:b/>
                <w:bCs/>
                <w:color w:val="FFFFFF"/>
                <w:sz w:val="19"/>
                <w:szCs w:val="19"/>
              </w:rPr>
              <w:t>Ce que l’on regarde</w:t>
            </w:r>
          </w:p>
        </w:tc>
        <w:tc>
          <w:tcPr>
            <w:tcW w:w="3580" w:type="dxa"/>
            <w:tcBorders>
              <w:top w:val="single" w:sz="1" w:space="0" w:color="1A2D4A"/>
              <w:left w:val="single" w:sz="1" w:space="0" w:color="1A2D4A"/>
              <w:bottom w:val="single" w:sz="1" w:space="0" w:color="1A2D4A"/>
              <w:right w:val="single" w:sz="1" w:space="0" w:color="1A2D4A"/>
            </w:tcBorders>
            <w:shd w:val="clear" w:color="auto" w:fill="8B1A1A"/>
            <w:tcMar>
              <w:top w:w="80" w:type="dxa"/>
              <w:left w:w="100" w:type="dxa"/>
              <w:bottom w:w="80" w:type="dxa"/>
              <w:right w:w="100" w:type="dxa"/>
            </w:tcMar>
          </w:tcPr>
          <w:p w14:paraId="6F38AA9F" w14:textId="77777777" w:rsidR="00AE0893" w:rsidRDefault="00000000">
            <w:pPr>
              <w:jc w:val="center"/>
            </w:pPr>
            <w:r>
              <w:rPr>
                <w:b/>
                <w:bCs/>
                <w:color w:val="FFFFFF"/>
                <w:sz w:val="19"/>
                <w:szCs w:val="19"/>
              </w:rPr>
              <w:t>NFRD — Avant 2024</w:t>
            </w:r>
          </w:p>
        </w:tc>
        <w:tc>
          <w:tcPr>
            <w:tcW w:w="3580" w:type="dxa"/>
            <w:tcBorders>
              <w:top w:val="single" w:sz="1" w:space="0" w:color="1A2D4A"/>
              <w:left w:val="single" w:sz="1" w:space="0" w:color="1A2D4A"/>
              <w:bottom w:val="single" w:sz="1" w:space="0" w:color="1A2D4A"/>
              <w:right w:val="single" w:sz="1" w:space="0" w:color="1A2D4A"/>
            </w:tcBorders>
            <w:shd w:val="clear" w:color="auto" w:fill="1A6B5A"/>
            <w:tcMar>
              <w:top w:w="80" w:type="dxa"/>
              <w:left w:w="100" w:type="dxa"/>
              <w:bottom w:w="80" w:type="dxa"/>
              <w:right w:w="100" w:type="dxa"/>
            </w:tcMar>
          </w:tcPr>
          <w:p w14:paraId="6BF67A9D" w14:textId="77777777" w:rsidR="00AE0893" w:rsidRDefault="00000000">
            <w:pPr>
              <w:jc w:val="center"/>
            </w:pPr>
            <w:r>
              <w:rPr>
                <w:b/>
                <w:bCs/>
                <w:color w:val="FFFFFF"/>
                <w:sz w:val="19"/>
                <w:szCs w:val="19"/>
              </w:rPr>
              <w:t>CSRD — A partir de 2024</w:t>
            </w:r>
          </w:p>
        </w:tc>
      </w:tr>
      <w:tr w:rsidR="00AE0893" w14:paraId="6268C8D6"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00" w:type="dxa"/>
              <w:bottom w:w="70" w:type="dxa"/>
              <w:right w:w="100" w:type="dxa"/>
            </w:tcMar>
          </w:tcPr>
          <w:p w14:paraId="23116C89" w14:textId="77777777" w:rsidR="00AE0893" w:rsidRDefault="00000000">
            <w:r>
              <w:rPr>
                <w:b/>
                <w:bCs/>
                <w:sz w:val="18"/>
                <w:szCs w:val="18"/>
              </w:rPr>
              <w:t>Combien d’entreprises concernées ?</w:t>
            </w:r>
          </w:p>
        </w:tc>
        <w:tc>
          <w:tcPr>
            <w:tcW w:w="3580" w:type="dxa"/>
            <w:tcBorders>
              <w:top w:val="single" w:sz="1" w:space="0" w:color="CCCCCC"/>
              <w:left w:val="single" w:sz="1" w:space="0" w:color="CCCCCC"/>
              <w:bottom w:val="single" w:sz="1" w:space="0" w:color="CCCCCC"/>
              <w:right w:val="single" w:sz="1" w:space="0" w:color="CCCCCC"/>
            </w:tcBorders>
            <w:shd w:val="clear" w:color="auto" w:fill="FFF8F8"/>
            <w:tcMar>
              <w:top w:w="70" w:type="dxa"/>
              <w:left w:w="100" w:type="dxa"/>
              <w:bottom w:w="70" w:type="dxa"/>
              <w:right w:w="100" w:type="dxa"/>
            </w:tcMar>
          </w:tcPr>
          <w:p w14:paraId="6E7D7B10" w14:textId="77777777" w:rsidR="00AE0893" w:rsidRDefault="00000000">
            <w:r>
              <w:rPr>
                <w:i/>
                <w:iCs/>
                <w:color w:val="884444"/>
                <w:sz w:val="18"/>
                <w:szCs w:val="18"/>
              </w:rPr>
              <w:t>11 000 grandes entreprises cotées seulement</w:t>
            </w:r>
          </w:p>
        </w:tc>
        <w:tc>
          <w:tcPr>
            <w:tcW w:w="3580" w:type="dxa"/>
            <w:tcBorders>
              <w:top w:val="single" w:sz="1" w:space="0" w:color="CCCCCC"/>
              <w:left w:val="single" w:sz="1" w:space="0" w:color="CCCCCC"/>
              <w:bottom w:val="single" w:sz="1" w:space="0" w:color="CCCCCC"/>
              <w:right w:val="single" w:sz="1" w:space="0" w:color="CCCCCC"/>
            </w:tcBorders>
            <w:shd w:val="clear" w:color="auto" w:fill="F5FFFA"/>
            <w:tcMar>
              <w:top w:w="70" w:type="dxa"/>
              <w:left w:w="100" w:type="dxa"/>
              <w:bottom w:w="70" w:type="dxa"/>
              <w:right w:w="100" w:type="dxa"/>
            </w:tcMar>
          </w:tcPr>
          <w:p w14:paraId="5EE716F6" w14:textId="77777777" w:rsidR="00AE0893" w:rsidRDefault="00000000">
            <w:r>
              <w:rPr>
                <w:color w:val="1A6B5A"/>
                <w:sz w:val="18"/>
                <w:szCs w:val="18"/>
              </w:rPr>
              <w:t>Plus de 50 000 : grands groupes, ETI, PME cotées</w:t>
            </w:r>
          </w:p>
        </w:tc>
      </w:tr>
      <w:tr w:rsidR="00AE0893" w14:paraId="1A74FCCC"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70" w:type="dxa"/>
              <w:left w:w="100" w:type="dxa"/>
              <w:bottom w:w="70" w:type="dxa"/>
              <w:right w:w="100" w:type="dxa"/>
            </w:tcMar>
          </w:tcPr>
          <w:p w14:paraId="68EDA20A" w14:textId="77777777" w:rsidR="00AE0893" w:rsidRDefault="00000000">
            <w:r>
              <w:rPr>
                <w:b/>
                <w:bCs/>
                <w:sz w:val="18"/>
                <w:szCs w:val="18"/>
              </w:rPr>
              <w:t>Des règles communes ?</w:t>
            </w:r>
          </w:p>
        </w:tc>
        <w:tc>
          <w:tcPr>
            <w:tcW w:w="3580" w:type="dxa"/>
            <w:tcBorders>
              <w:top w:val="single" w:sz="1" w:space="0" w:color="CCCCCC"/>
              <w:left w:val="single" w:sz="1" w:space="0" w:color="CCCCCC"/>
              <w:bottom w:val="single" w:sz="1" w:space="0" w:color="CCCCCC"/>
              <w:right w:val="single" w:sz="1" w:space="0" w:color="CCCCCC"/>
            </w:tcBorders>
            <w:shd w:val="clear" w:color="auto" w:fill="FFF5F5"/>
            <w:tcMar>
              <w:top w:w="70" w:type="dxa"/>
              <w:left w:w="100" w:type="dxa"/>
              <w:bottom w:w="70" w:type="dxa"/>
              <w:right w:w="100" w:type="dxa"/>
            </w:tcMar>
          </w:tcPr>
          <w:p w14:paraId="7F6E53D6" w14:textId="77777777" w:rsidR="00AE0893" w:rsidRDefault="00000000">
            <w:r>
              <w:rPr>
                <w:i/>
                <w:iCs/>
                <w:color w:val="884444"/>
                <w:sz w:val="18"/>
                <w:szCs w:val="18"/>
              </w:rPr>
              <w:t>Non — chaque entreprise choisit son référentiel</w:t>
            </w:r>
          </w:p>
        </w:tc>
        <w:tc>
          <w:tcPr>
            <w:tcW w:w="3580" w:type="dxa"/>
            <w:tcBorders>
              <w:top w:val="single" w:sz="1" w:space="0" w:color="CCCCCC"/>
              <w:left w:val="single" w:sz="1" w:space="0" w:color="CCCCCC"/>
              <w:bottom w:val="single" w:sz="1" w:space="0" w:color="CCCCCC"/>
              <w:right w:val="single" w:sz="1" w:space="0" w:color="CCCCCC"/>
            </w:tcBorders>
            <w:shd w:val="clear" w:color="auto" w:fill="F0FFF4"/>
            <w:tcMar>
              <w:top w:w="70" w:type="dxa"/>
              <w:left w:w="100" w:type="dxa"/>
              <w:bottom w:w="70" w:type="dxa"/>
              <w:right w:w="100" w:type="dxa"/>
            </w:tcMar>
          </w:tcPr>
          <w:p w14:paraId="469342C3" w14:textId="77777777" w:rsidR="00AE0893" w:rsidRDefault="00000000">
            <w:r>
              <w:rPr>
                <w:color w:val="1A6B5A"/>
                <w:sz w:val="18"/>
                <w:szCs w:val="18"/>
              </w:rPr>
              <w:t>Oui — les ESRS sont obligatoires pour tous</w:t>
            </w:r>
          </w:p>
        </w:tc>
      </w:tr>
      <w:tr w:rsidR="00AE0893" w14:paraId="118B5087"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00" w:type="dxa"/>
              <w:bottom w:w="70" w:type="dxa"/>
              <w:right w:w="100" w:type="dxa"/>
            </w:tcMar>
          </w:tcPr>
          <w:p w14:paraId="1512DC4E" w14:textId="77777777" w:rsidR="00AE0893" w:rsidRDefault="00000000">
            <w:r>
              <w:rPr>
                <w:b/>
                <w:bCs/>
                <w:sz w:val="18"/>
                <w:szCs w:val="18"/>
              </w:rPr>
              <w:t>Qu’est-ce qu’on doit dire ?</w:t>
            </w:r>
          </w:p>
        </w:tc>
        <w:tc>
          <w:tcPr>
            <w:tcW w:w="3580" w:type="dxa"/>
            <w:tcBorders>
              <w:top w:val="single" w:sz="1" w:space="0" w:color="CCCCCC"/>
              <w:left w:val="single" w:sz="1" w:space="0" w:color="CCCCCC"/>
              <w:bottom w:val="single" w:sz="1" w:space="0" w:color="CCCCCC"/>
              <w:right w:val="single" w:sz="1" w:space="0" w:color="CCCCCC"/>
            </w:tcBorders>
            <w:shd w:val="clear" w:color="auto" w:fill="FFF8F8"/>
            <w:tcMar>
              <w:top w:w="70" w:type="dxa"/>
              <w:left w:w="100" w:type="dxa"/>
              <w:bottom w:w="70" w:type="dxa"/>
              <w:right w:w="100" w:type="dxa"/>
            </w:tcMar>
          </w:tcPr>
          <w:p w14:paraId="0F9A46AC" w14:textId="77777777" w:rsidR="00AE0893" w:rsidRDefault="00000000">
            <w:r>
              <w:rPr>
                <w:i/>
                <w:iCs/>
                <w:color w:val="884444"/>
                <w:sz w:val="18"/>
                <w:szCs w:val="18"/>
              </w:rPr>
              <w:t>Ce qu’on veut, comme on veut</w:t>
            </w:r>
          </w:p>
        </w:tc>
        <w:tc>
          <w:tcPr>
            <w:tcW w:w="3580" w:type="dxa"/>
            <w:tcBorders>
              <w:top w:val="single" w:sz="1" w:space="0" w:color="CCCCCC"/>
              <w:left w:val="single" w:sz="1" w:space="0" w:color="CCCCCC"/>
              <w:bottom w:val="single" w:sz="1" w:space="0" w:color="CCCCCC"/>
              <w:right w:val="single" w:sz="1" w:space="0" w:color="CCCCCC"/>
            </w:tcBorders>
            <w:shd w:val="clear" w:color="auto" w:fill="F5FFFA"/>
            <w:tcMar>
              <w:top w:w="70" w:type="dxa"/>
              <w:left w:w="100" w:type="dxa"/>
              <w:bottom w:w="70" w:type="dxa"/>
              <w:right w:w="100" w:type="dxa"/>
            </w:tcMar>
          </w:tcPr>
          <w:p w14:paraId="2C960003" w14:textId="77777777" w:rsidR="00AE0893" w:rsidRDefault="00000000">
            <w:r>
              <w:rPr>
                <w:color w:val="1A6B5A"/>
                <w:sz w:val="18"/>
                <w:szCs w:val="18"/>
              </w:rPr>
              <w:t>Son impact sur l’environnement ET les risques enviro. sur ses finances (double matérialité)</w:t>
            </w:r>
          </w:p>
        </w:tc>
      </w:tr>
      <w:tr w:rsidR="00AE0893" w14:paraId="21EA40B7"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70" w:type="dxa"/>
              <w:left w:w="100" w:type="dxa"/>
              <w:bottom w:w="70" w:type="dxa"/>
              <w:right w:w="100" w:type="dxa"/>
            </w:tcMar>
          </w:tcPr>
          <w:p w14:paraId="289D11ED" w14:textId="77777777" w:rsidR="00AE0893" w:rsidRDefault="00000000">
            <w:r>
              <w:rPr>
                <w:b/>
                <w:bCs/>
                <w:sz w:val="18"/>
                <w:szCs w:val="18"/>
              </w:rPr>
              <w:t>Quelqu’un vérifie ?</w:t>
            </w:r>
          </w:p>
        </w:tc>
        <w:tc>
          <w:tcPr>
            <w:tcW w:w="3580" w:type="dxa"/>
            <w:tcBorders>
              <w:top w:val="single" w:sz="1" w:space="0" w:color="CCCCCC"/>
              <w:left w:val="single" w:sz="1" w:space="0" w:color="CCCCCC"/>
              <w:bottom w:val="single" w:sz="1" w:space="0" w:color="CCCCCC"/>
              <w:right w:val="single" w:sz="1" w:space="0" w:color="CCCCCC"/>
            </w:tcBorders>
            <w:shd w:val="clear" w:color="auto" w:fill="FFF5F5"/>
            <w:tcMar>
              <w:top w:w="70" w:type="dxa"/>
              <w:left w:w="100" w:type="dxa"/>
              <w:bottom w:w="70" w:type="dxa"/>
              <w:right w:w="100" w:type="dxa"/>
            </w:tcMar>
          </w:tcPr>
          <w:p w14:paraId="2CC5847F" w14:textId="77777777" w:rsidR="00AE0893" w:rsidRDefault="00000000">
            <w:r>
              <w:rPr>
                <w:i/>
                <w:iCs/>
                <w:color w:val="884444"/>
                <w:sz w:val="18"/>
                <w:szCs w:val="18"/>
              </w:rPr>
              <w:t>Rarement — audit non obligatoire</w:t>
            </w:r>
          </w:p>
        </w:tc>
        <w:tc>
          <w:tcPr>
            <w:tcW w:w="3580" w:type="dxa"/>
            <w:tcBorders>
              <w:top w:val="single" w:sz="1" w:space="0" w:color="CCCCCC"/>
              <w:left w:val="single" w:sz="1" w:space="0" w:color="CCCCCC"/>
              <w:bottom w:val="single" w:sz="1" w:space="0" w:color="CCCCCC"/>
              <w:right w:val="single" w:sz="1" w:space="0" w:color="CCCCCC"/>
            </w:tcBorders>
            <w:shd w:val="clear" w:color="auto" w:fill="F0FFF4"/>
            <w:tcMar>
              <w:top w:w="70" w:type="dxa"/>
              <w:left w:w="100" w:type="dxa"/>
              <w:bottom w:w="70" w:type="dxa"/>
              <w:right w:w="100" w:type="dxa"/>
            </w:tcMar>
          </w:tcPr>
          <w:p w14:paraId="3078B5FC" w14:textId="77777777" w:rsidR="00AE0893" w:rsidRDefault="00000000">
            <w:r>
              <w:rPr>
                <w:color w:val="1A6B5A"/>
                <w:sz w:val="18"/>
                <w:szCs w:val="18"/>
              </w:rPr>
              <w:t>Oui — vérification obligatoire par un auditeur indépendant (OTI)</w:t>
            </w:r>
          </w:p>
        </w:tc>
      </w:tr>
      <w:tr w:rsidR="00AE0893" w14:paraId="21B80C67"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00" w:type="dxa"/>
              <w:bottom w:w="70" w:type="dxa"/>
              <w:right w:w="100" w:type="dxa"/>
            </w:tcMar>
          </w:tcPr>
          <w:p w14:paraId="32C180DA" w14:textId="77777777" w:rsidR="00AE0893" w:rsidRDefault="00000000">
            <w:r>
              <w:rPr>
                <w:b/>
                <w:bCs/>
                <w:sz w:val="18"/>
                <w:szCs w:val="18"/>
              </w:rPr>
              <w:t>Peut-on comparer deux entreprises ?</w:t>
            </w:r>
          </w:p>
        </w:tc>
        <w:tc>
          <w:tcPr>
            <w:tcW w:w="3580" w:type="dxa"/>
            <w:tcBorders>
              <w:top w:val="single" w:sz="1" w:space="0" w:color="CCCCCC"/>
              <w:left w:val="single" w:sz="1" w:space="0" w:color="CCCCCC"/>
              <w:bottom w:val="single" w:sz="1" w:space="0" w:color="CCCCCC"/>
              <w:right w:val="single" w:sz="1" w:space="0" w:color="CCCCCC"/>
            </w:tcBorders>
            <w:shd w:val="clear" w:color="auto" w:fill="FFF8F8"/>
            <w:tcMar>
              <w:top w:w="70" w:type="dxa"/>
              <w:left w:w="100" w:type="dxa"/>
              <w:bottom w:w="70" w:type="dxa"/>
              <w:right w:w="100" w:type="dxa"/>
            </w:tcMar>
          </w:tcPr>
          <w:p w14:paraId="4478F2E7" w14:textId="77777777" w:rsidR="00AE0893" w:rsidRDefault="00000000">
            <w:r>
              <w:rPr>
                <w:i/>
                <w:iCs/>
                <w:color w:val="884444"/>
                <w:sz w:val="18"/>
                <w:szCs w:val="18"/>
              </w:rPr>
              <w:t>Presque jamais — les indicateurs différent</w:t>
            </w:r>
          </w:p>
        </w:tc>
        <w:tc>
          <w:tcPr>
            <w:tcW w:w="3580" w:type="dxa"/>
            <w:tcBorders>
              <w:top w:val="single" w:sz="1" w:space="0" w:color="CCCCCC"/>
              <w:left w:val="single" w:sz="1" w:space="0" w:color="CCCCCC"/>
              <w:bottom w:val="single" w:sz="1" w:space="0" w:color="CCCCCC"/>
              <w:right w:val="single" w:sz="1" w:space="0" w:color="CCCCCC"/>
            </w:tcBorders>
            <w:shd w:val="clear" w:color="auto" w:fill="F5FFFA"/>
            <w:tcMar>
              <w:top w:w="70" w:type="dxa"/>
              <w:left w:w="100" w:type="dxa"/>
              <w:bottom w:w="70" w:type="dxa"/>
              <w:right w:w="100" w:type="dxa"/>
            </w:tcMar>
          </w:tcPr>
          <w:p w14:paraId="6F0B5B3C" w14:textId="77777777" w:rsidR="00AE0893" w:rsidRDefault="00000000">
            <w:r>
              <w:rPr>
                <w:color w:val="1A6B5A"/>
                <w:sz w:val="18"/>
                <w:szCs w:val="18"/>
              </w:rPr>
              <w:t>Oui — mêmes indicateurs, mêmes définitions pour tous</w:t>
            </w:r>
          </w:p>
        </w:tc>
      </w:tr>
      <w:tr w:rsidR="00AE0893" w14:paraId="23178107"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70" w:type="dxa"/>
              <w:left w:w="100" w:type="dxa"/>
              <w:bottom w:w="70" w:type="dxa"/>
              <w:right w:w="100" w:type="dxa"/>
            </w:tcMar>
          </w:tcPr>
          <w:p w14:paraId="2CC08BC8" w14:textId="77777777" w:rsidR="00AE0893" w:rsidRDefault="00000000">
            <w:r>
              <w:rPr>
                <w:b/>
                <w:bCs/>
                <w:sz w:val="18"/>
                <w:szCs w:val="18"/>
              </w:rPr>
              <w:t>Que risque-t-on à mentir ?</w:t>
            </w:r>
          </w:p>
        </w:tc>
        <w:tc>
          <w:tcPr>
            <w:tcW w:w="3580" w:type="dxa"/>
            <w:tcBorders>
              <w:top w:val="single" w:sz="1" w:space="0" w:color="CCCCCC"/>
              <w:left w:val="single" w:sz="1" w:space="0" w:color="CCCCCC"/>
              <w:bottom w:val="single" w:sz="1" w:space="0" w:color="CCCCCC"/>
              <w:right w:val="single" w:sz="1" w:space="0" w:color="CCCCCC"/>
            </w:tcBorders>
            <w:shd w:val="clear" w:color="auto" w:fill="FFF5F5"/>
            <w:tcMar>
              <w:top w:w="70" w:type="dxa"/>
              <w:left w:w="100" w:type="dxa"/>
              <w:bottom w:w="70" w:type="dxa"/>
              <w:right w:w="100" w:type="dxa"/>
            </w:tcMar>
          </w:tcPr>
          <w:p w14:paraId="71BF529E" w14:textId="77777777" w:rsidR="00AE0893" w:rsidRDefault="00000000">
            <w:r>
              <w:rPr>
                <w:i/>
                <w:iCs/>
                <w:color w:val="884444"/>
                <w:sz w:val="18"/>
                <w:szCs w:val="18"/>
              </w:rPr>
              <w:t>Presque rien — sanctions rares et faibles</w:t>
            </w:r>
          </w:p>
        </w:tc>
        <w:tc>
          <w:tcPr>
            <w:tcW w:w="3580" w:type="dxa"/>
            <w:tcBorders>
              <w:top w:val="single" w:sz="1" w:space="0" w:color="CCCCCC"/>
              <w:left w:val="single" w:sz="1" w:space="0" w:color="CCCCCC"/>
              <w:bottom w:val="single" w:sz="1" w:space="0" w:color="CCCCCC"/>
              <w:right w:val="single" w:sz="1" w:space="0" w:color="CCCCCC"/>
            </w:tcBorders>
            <w:shd w:val="clear" w:color="auto" w:fill="F0FFF4"/>
            <w:tcMar>
              <w:top w:w="70" w:type="dxa"/>
              <w:left w:w="100" w:type="dxa"/>
              <w:bottom w:w="70" w:type="dxa"/>
              <w:right w:w="100" w:type="dxa"/>
            </w:tcMar>
          </w:tcPr>
          <w:p w14:paraId="53D164DE" w14:textId="77777777" w:rsidR="00AE0893" w:rsidRDefault="00000000">
            <w:r>
              <w:rPr>
                <w:color w:val="1A6B5A"/>
                <w:sz w:val="18"/>
                <w:szCs w:val="18"/>
              </w:rPr>
              <w:t>Responsabilité juridique, sanctions financières et pénales</w:t>
            </w:r>
          </w:p>
        </w:tc>
      </w:tr>
      <w:tr w:rsidR="00AE0893" w14:paraId="018C4757"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00" w:type="dxa"/>
              <w:bottom w:w="70" w:type="dxa"/>
              <w:right w:w="100" w:type="dxa"/>
            </w:tcMar>
          </w:tcPr>
          <w:p w14:paraId="57BD9DFE" w14:textId="77777777" w:rsidR="00AE0893" w:rsidRDefault="00000000">
            <w:r>
              <w:rPr>
                <w:b/>
                <w:bCs/>
                <w:sz w:val="18"/>
                <w:szCs w:val="18"/>
              </w:rPr>
              <w:t>Ce que ca donné en vrai</w:t>
            </w:r>
          </w:p>
        </w:tc>
        <w:tc>
          <w:tcPr>
            <w:tcW w:w="3580" w:type="dxa"/>
            <w:tcBorders>
              <w:top w:val="single" w:sz="1" w:space="0" w:color="CCCCCC"/>
              <w:left w:val="single" w:sz="1" w:space="0" w:color="CCCCCC"/>
              <w:bottom w:val="single" w:sz="1" w:space="0" w:color="CCCCCC"/>
              <w:right w:val="single" w:sz="1" w:space="0" w:color="CCCCCC"/>
            </w:tcBorders>
            <w:shd w:val="clear" w:color="auto" w:fill="FFF8F8"/>
            <w:tcMar>
              <w:top w:w="70" w:type="dxa"/>
              <w:left w:w="100" w:type="dxa"/>
              <w:bottom w:w="70" w:type="dxa"/>
              <w:right w:w="100" w:type="dxa"/>
            </w:tcMar>
          </w:tcPr>
          <w:p w14:paraId="2062F8CF" w14:textId="77777777" w:rsidR="00AE0893" w:rsidRDefault="00000000">
            <w:r>
              <w:rPr>
                <w:i/>
                <w:iCs/>
                <w:color w:val="884444"/>
                <w:sz w:val="18"/>
                <w:szCs w:val="18"/>
              </w:rPr>
              <w:t>Des rapports creux pleins de bonnes intentions</w:t>
            </w:r>
          </w:p>
        </w:tc>
        <w:tc>
          <w:tcPr>
            <w:tcW w:w="3580" w:type="dxa"/>
            <w:tcBorders>
              <w:top w:val="single" w:sz="1" w:space="0" w:color="CCCCCC"/>
              <w:left w:val="single" w:sz="1" w:space="0" w:color="CCCCCC"/>
              <w:bottom w:val="single" w:sz="1" w:space="0" w:color="CCCCCC"/>
              <w:right w:val="single" w:sz="1" w:space="0" w:color="CCCCCC"/>
            </w:tcBorders>
            <w:shd w:val="clear" w:color="auto" w:fill="F5FFFA"/>
            <w:tcMar>
              <w:top w:w="70" w:type="dxa"/>
              <w:left w:w="100" w:type="dxa"/>
              <w:bottom w:w="70" w:type="dxa"/>
              <w:right w:w="100" w:type="dxa"/>
            </w:tcMar>
          </w:tcPr>
          <w:p w14:paraId="0FEFE762" w14:textId="77777777" w:rsidR="00AE0893" w:rsidRDefault="00000000">
            <w:r>
              <w:rPr>
                <w:color w:val="1A6B5A"/>
                <w:sz w:val="18"/>
                <w:szCs w:val="18"/>
              </w:rPr>
              <w:t>Des données chiffrées, auditées, comparables et actionnables</w:t>
            </w:r>
          </w:p>
        </w:tc>
      </w:tr>
    </w:tbl>
    <w:p w14:paraId="7D997293" w14:textId="77777777" w:rsidR="00AE0893" w:rsidRDefault="00000000">
      <w:pPr>
        <w:spacing w:before="50" w:after="120"/>
        <w:jc w:val="center"/>
      </w:pPr>
      <w:r>
        <w:rPr>
          <w:i/>
          <w:iCs/>
          <w:color w:val="555555"/>
          <w:sz w:val="17"/>
          <w:szCs w:val="17"/>
        </w:rPr>
        <w:t>Source : Bouzaroura Cherif, 2024 — base Commission européenne (2020) et EFRAG (2023)</w:t>
      </w:r>
    </w:p>
    <w:p w14:paraId="02CD646C" w14:textId="77777777" w:rsidR="00AE0893" w:rsidRDefault="00AE0893">
      <w:pPr>
        <w:spacing w:before="60" w:after="60"/>
      </w:pPr>
    </w:p>
    <w:p w14:paraId="1C923B5C" w14:textId="77777777" w:rsidR="00AE0893" w:rsidRDefault="00000000">
      <w:pPr>
        <w:pStyle w:val="Titre2"/>
      </w:pPr>
      <w:r>
        <w:t>1.3 La double matérialité : regarder dans les deux sens</w:t>
      </w:r>
    </w:p>
    <w:p w14:paraId="30FBEDC6" w14:textId="15FF83F3" w:rsidR="00AE0893" w:rsidRDefault="00000000">
      <w:pPr>
        <w:spacing w:before="140" w:after="140" w:line="380" w:lineRule="auto"/>
        <w:jc w:val="both"/>
      </w:pPr>
      <w:r>
        <w:lastRenderedPageBreak/>
        <w:t>Pour comprendre ce qu’est la double matérialité, une analogie simple : imaginez un agriculteur qui cultive du blé en bord de rivière. La NFRD lui demandait seulement : Est-ce que vos produits chimiques polluent la rivière ? La CSRD lui demande deux choses : premièrement, Est-ce que vos produits chimiques polluent la rivière ? (impact de l’entreprise sur l’environnement) et deuxièmement, Est-ce que les inondations de plus en plus fréquentes liées au changement climatique risquent de détruire vos récoltes et de menacer votre survie économique ? (impact de l’environnement sur l’entreprise).</w:t>
      </w:r>
    </w:p>
    <w:p w14:paraId="4BDD9BFF" w14:textId="3D0D907C" w:rsidR="00AE0893" w:rsidRDefault="00000000">
      <w:pPr>
        <w:spacing w:before="140" w:after="140" w:line="380" w:lineRule="auto"/>
        <w:jc w:val="both"/>
      </w:pPr>
      <w:r>
        <w:t>C’est ce double regard vers l’extérieur et vers l’intérieur qui rend la CSRD révolutionnaire. Il oblige les dirigeants à ne plus seulement penser comment limiter notre impact sur la planète mais aussi comment les risques planétaires vont-ils impacter notre entreprise dans cinq, dix, vingt ans ? Ce n’est plus du reporting. C’est de la stratégie.</w:t>
      </w:r>
    </w:p>
    <w:p w14:paraId="0FB66207" w14:textId="77777777" w:rsidR="00AE0893" w:rsidRDefault="00AE0893">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E0893" w14:paraId="53D0D3D8" w14:textId="77777777">
        <w:tblPrEx>
          <w:tblCellMar>
            <w:top w:w="0" w:type="dxa"/>
            <w:bottom w:w="0" w:type="dxa"/>
          </w:tblCellMar>
        </w:tblPrEx>
        <w:tc>
          <w:tcPr>
            <w:tcW w:w="9360" w:type="dxa"/>
            <w:tcBorders>
              <w:top w:val="single" w:sz="1" w:space="0" w:color="2E5F8A"/>
              <w:left w:val="single" w:sz="12" w:space="0" w:color="2E5F8A"/>
              <w:bottom w:val="single" w:sz="1" w:space="0" w:color="2E5F8A"/>
              <w:right w:val="single" w:sz="1" w:space="0" w:color="2E5F8A"/>
            </w:tcBorders>
            <w:shd w:val="clear" w:color="auto" w:fill="F0F4FF"/>
            <w:tcMar>
              <w:top w:w="140" w:type="dxa"/>
              <w:left w:w="240" w:type="dxa"/>
              <w:bottom w:w="140" w:type="dxa"/>
              <w:right w:w="200" w:type="dxa"/>
            </w:tcMar>
          </w:tcPr>
          <w:p w14:paraId="62DB5898" w14:textId="01293DD8" w:rsidR="00AE0893" w:rsidRDefault="00000000">
            <w:pPr>
              <w:spacing w:after="60"/>
            </w:pPr>
            <w:r>
              <w:rPr>
                <w:b/>
                <w:bCs/>
                <w:color w:val="2E5F8A"/>
                <w:sz w:val="21"/>
                <w:szCs w:val="21"/>
              </w:rPr>
              <w:t>La double matérialité en langage courant deux questions, une seule analyse</w:t>
            </w:r>
          </w:p>
          <w:p w14:paraId="13E2A5F3" w14:textId="3643D33A" w:rsidR="00AE0893" w:rsidRDefault="00000000">
            <w:pPr>
              <w:spacing w:after="50" w:line="350" w:lineRule="auto"/>
            </w:pPr>
            <w:r>
              <w:rPr>
                <w:b/>
                <w:bCs/>
                <w:color w:val="2E5F8A"/>
                <w:sz w:val="20"/>
                <w:szCs w:val="20"/>
              </w:rPr>
              <w:t xml:space="preserve">Question 1 Matérialité d’impact (ce que l’entreprise fait au monde) : </w:t>
            </w:r>
            <w:r>
              <w:rPr>
                <w:sz w:val="20"/>
                <w:szCs w:val="20"/>
              </w:rPr>
              <w:t>Mon usine émet-elle des polluants dans l’air ou dans l’eau ? Ma chaîne d’approvisionnement détruit-elle des forêts ? Mes produits génèrent-ils des déchets difficiles à recycler ? Ce sont les impacts de l’entreprise sur l’environnement et la société indépendamment de leur effet financier sur elle.</w:t>
            </w:r>
          </w:p>
          <w:p w14:paraId="79050FE0" w14:textId="3FCE6615" w:rsidR="00AE0893" w:rsidRDefault="00000000">
            <w:pPr>
              <w:spacing w:after="50" w:line="350" w:lineRule="auto"/>
            </w:pPr>
            <w:r>
              <w:rPr>
                <w:b/>
                <w:bCs/>
                <w:color w:val="2E5F8A"/>
                <w:sz w:val="20"/>
                <w:szCs w:val="20"/>
              </w:rPr>
              <w:t xml:space="preserve">Question 2 Matérialité financière (ce que le monde fait à l’entreprise) : </w:t>
            </w:r>
            <w:r>
              <w:rPr>
                <w:sz w:val="20"/>
                <w:szCs w:val="20"/>
              </w:rPr>
              <w:t>Est-ce que mon site de production est situé dans une zone à risque d’inondation ? Est-ce que mes fournisseurs sont dans des régions menacées par la sécheresse ? Est-ce que la hausse du prix du carbone va renchérir mon processus de fabrication ? Ce sont les risques que l’environnement fait peser sur la valeur financière de l’entreprise.</w:t>
            </w:r>
          </w:p>
          <w:p w14:paraId="523EF1D8" w14:textId="65E21238" w:rsidR="00AE0893" w:rsidRDefault="00000000">
            <w:pPr>
              <w:spacing w:after="50" w:line="350" w:lineRule="auto"/>
            </w:pPr>
            <w:r>
              <w:rPr>
                <w:b/>
                <w:bCs/>
                <w:color w:val="2E5F8A"/>
                <w:sz w:val="20"/>
                <w:szCs w:val="20"/>
              </w:rPr>
              <w:t xml:space="preserve">Ce qui est nouveau : </w:t>
            </w:r>
            <w:r>
              <w:rPr>
                <w:sz w:val="20"/>
                <w:szCs w:val="20"/>
              </w:rPr>
              <w:t>La CSRD oblige à faire les deux analyses en même temps, de façon chiffrée et vérifiée. Avant, les entreprises pouvaient choisir de ne faire que l’une ou l’autre ou aucune des deux.</w:t>
            </w:r>
          </w:p>
        </w:tc>
      </w:tr>
    </w:tbl>
    <w:p w14:paraId="0D5BE049" w14:textId="77777777" w:rsidR="00AE0893" w:rsidRDefault="00AE0893">
      <w:pPr>
        <w:spacing w:before="100" w:after="100"/>
      </w:pPr>
    </w:p>
    <w:p w14:paraId="18B809B1" w14:textId="77777777" w:rsidR="00AE0893" w:rsidRDefault="00000000">
      <w:pPr>
        <w:pStyle w:val="Titre2"/>
      </w:pPr>
      <w:r>
        <w:t>1.4 L’effet boule de neige : comment la CSRD va toucher tout le monde, même ceux qui ne sont pas obligés</w:t>
      </w:r>
    </w:p>
    <w:p w14:paraId="6758957A" w14:textId="5C218FFF" w:rsidR="00AE0893" w:rsidRDefault="00000000">
      <w:pPr>
        <w:spacing w:before="140" w:after="140" w:line="380" w:lineRule="auto"/>
        <w:jc w:val="both"/>
      </w:pPr>
      <w:r>
        <w:t>Voici l’un des aspects de la CSRD les moins compris et pourtant les plus importants pour les PME et ETI. Une grande entreprise soumise à la CSRD doit déclarer non seulement ses propres émissions de gaz à effet de serre (ce qu’on appelle les Scopes 1 et 2 ses usines, ses bureaux, ses véhicules), mais aussi les émissions générées par toute sa chaîne d’approvisionnement (le Scope 3 : ce que fabriquent et livrent ses fournisseurs à sa place).</w:t>
      </w:r>
    </w:p>
    <w:p w14:paraId="4C6B62C7" w14:textId="5D5962D5" w:rsidR="00AE0893" w:rsidRDefault="00000000">
      <w:pPr>
        <w:spacing w:before="140" w:after="140" w:line="380" w:lineRule="auto"/>
        <w:jc w:val="both"/>
      </w:pPr>
      <w:r>
        <w:lastRenderedPageBreak/>
        <w:t>En clair : pour calculer son Scope 3, un grand constructeur automobile a besoin que ses 500 fournisseurs de pièces lui transmettent leurs propres données d’émissions. S’ils ne le font pas, le constructeur ne peut pas remplir son rapport CSRD et risque une sanction. Il va donc envoyer à tous ses fournisseurs un questionnaire : Donnez-nous votre bilan carbone. Montrez-nous votre certification ISO 14001. Prouvez-nous que vous gérez vos déchets correctement. Et si le fournisseur ne répond pas, le constructeur le remplacera par un concurrent qui, lui, a fait sa mise en conformité.</w:t>
      </w:r>
    </w:p>
    <w:p w14:paraId="4EB956FE" w14:textId="5441E39B" w:rsidR="00AE0893" w:rsidRDefault="00000000">
      <w:pPr>
        <w:spacing w:before="140" w:after="140" w:line="380" w:lineRule="auto"/>
        <w:jc w:val="both"/>
      </w:pPr>
      <w:r>
        <w:t>C’est l’effet boule de neige. La CSRD, pensée au départ pour les grandes entreprises, se propage mécaniquement dans toute la chaîne de valeur. Des millions de PME et ETI qui ne sont pas encore directement concernées par la réglementation vont l’être indirectement par la pression de leurs clients. Et celles qui s’y préparent aujourd’hui réduisent leur charge de mise en conformité future.</w:t>
      </w:r>
    </w:p>
    <w:p w14:paraId="374B1AED" w14:textId="77777777" w:rsidR="00AE0893" w:rsidRDefault="00AE0893">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E0893" w14:paraId="778E67E4" w14:textId="77777777">
        <w:tblPrEx>
          <w:tblCellMar>
            <w:top w:w="0" w:type="dxa"/>
            <w:bottom w:w="0" w:type="dxa"/>
          </w:tblCellMar>
        </w:tblPrEx>
        <w:tc>
          <w:tcPr>
            <w:tcW w:w="9360" w:type="dxa"/>
            <w:tcBorders>
              <w:top w:val="single" w:sz="1" w:space="0" w:color="8A6A1A"/>
              <w:left w:val="single" w:sz="12" w:space="0" w:color="8A6A1A"/>
              <w:bottom w:val="single" w:sz="1" w:space="0" w:color="8A6A1A"/>
              <w:right w:val="single" w:sz="1" w:space="0" w:color="8A6A1A"/>
            </w:tcBorders>
            <w:shd w:val="clear" w:color="auto" w:fill="FFFDF0"/>
            <w:tcMar>
              <w:top w:w="140" w:type="dxa"/>
              <w:left w:w="240" w:type="dxa"/>
              <w:bottom w:w="140" w:type="dxa"/>
              <w:right w:w="200" w:type="dxa"/>
            </w:tcMar>
          </w:tcPr>
          <w:p w14:paraId="5754C8F8" w14:textId="77777777" w:rsidR="00AE0893" w:rsidRDefault="00000000">
            <w:pPr>
              <w:spacing w:after="60"/>
            </w:pPr>
            <w:r>
              <w:rPr>
                <w:b/>
                <w:bCs/>
                <w:color w:val="8A6A1A"/>
                <w:sz w:val="21"/>
                <w:szCs w:val="21"/>
              </w:rPr>
              <w:t>L’effet boule de neige — Les trois vagues d’impact</w:t>
            </w:r>
          </w:p>
          <w:p w14:paraId="6AAEA7E2" w14:textId="3F36DD48" w:rsidR="00AE0893" w:rsidRDefault="00000000">
            <w:pPr>
              <w:spacing w:after="50" w:line="350" w:lineRule="auto"/>
            </w:pPr>
            <w:r>
              <w:rPr>
                <w:b/>
                <w:bCs/>
                <w:color w:val="8A6A1A"/>
                <w:sz w:val="20"/>
                <w:szCs w:val="20"/>
              </w:rPr>
              <w:t xml:space="preserve">Vague 1 (2024) Les grandes entreprises cotées : </w:t>
            </w:r>
            <w:r>
              <w:rPr>
                <w:sz w:val="20"/>
                <w:szCs w:val="20"/>
              </w:rPr>
              <w:t>Groupes du CAC 40 et équivalents. Ils publient leur premier rapport CSRD. Ils ont besoin des données de leurs fournisseurs pour calculer leur Scope 3. Les questionnaires RSE commencent à arriver dans les boîtes mail des ETI et PME.</w:t>
            </w:r>
          </w:p>
          <w:p w14:paraId="496B887B" w14:textId="058F45CA" w:rsidR="00AE0893" w:rsidRDefault="00000000">
            <w:pPr>
              <w:spacing w:after="50" w:line="350" w:lineRule="auto"/>
            </w:pPr>
            <w:r>
              <w:rPr>
                <w:b/>
                <w:bCs/>
                <w:color w:val="8A6A1A"/>
                <w:sz w:val="20"/>
                <w:szCs w:val="20"/>
              </w:rPr>
              <w:t xml:space="preserve">Vague 2 (2026) Les ETI de plus de 250 salariés : </w:t>
            </w:r>
            <w:r>
              <w:rPr>
                <w:sz w:val="20"/>
                <w:szCs w:val="20"/>
              </w:rPr>
              <w:t>Directement soumises à la CSRD. Mais beaucoup d’entre elles auront déjà été contraintes d’agir par leurs clients de la Vague 1 pour ne pas perdre leurs contrats.</w:t>
            </w:r>
          </w:p>
          <w:p w14:paraId="3D5FA86E" w14:textId="66500B02" w:rsidR="00AE0893" w:rsidRDefault="00000000">
            <w:pPr>
              <w:spacing w:after="50" w:line="350" w:lineRule="auto"/>
            </w:pPr>
            <w:r>
              <w:rPr>
                <w:b/>
                <w:bCs/>
                <w:color w:val="8A6A1A"/>
                <w:sz w:val="20"/>
                <w:szCs w:val="20"/>
              </w:rPr>
              <w:t xml:space="preserve">Vague 3 (2027 et au-delà) Les PME et les sous-traitants : </w:t>
            </w:r>
            <w:r>
              <w:rPr>
                <w:sz w:val="20"/>
                <w:szCs w:val="20"/>
              </w:rPr>
              <w:t>Non directement obligés par la loi, mais obligés de facto par leurs clients. Selon la Commission européenne, la CSRD touchera directement ou indirectement plus de 3 millions d’entreprises en Europe d’ici 2030.</w:t>
            </w:r>
          </w:p>
          <w:p w14:paraId="19CD6452" w14:textId="77777777" w:rsidR="00AE0893" w:rsidRDefault="00000000">
            <w:pPr>
              <w:spacing w:after="50" w:line="350" w:lineRule="auto"/>
            </w:pPr>
            <w:r>
              <w:rPr>
                <w:b/>
                <w:bCs/>
                <w:color w:val="8A6A1A"/>
                <w:sz w:val="20"/>
                <w:szCs w:val="20"/>
              </w:rPr>
              <w:t xml:space="preserve">Le message clé : </w:t>
            </w:r>
            <w:r>
              <w:rPr>
                <w:sz w:val="20"/>
                <w:szCs w:val="20"/>
              </w:rPr>
              <w:t>Ne pas être directement visé par la CSRD ne signifie pas ne pas être concerné. Si votre principal client est une grande entreprise ou une ETI soumise à la CSRD, vous allez recevoir ses questionnaires RSE. Votre capacité à y répondre déterminera en partie si vous gardez le contrat.</w:t>
            </w:r>
          </w:p>
        </w:tc>
      </w:tr>
    </w:tbl>
    <w:p w14:paraId="2D348852" w14:textId="77777777" w:rsidR="00AE0893" w:rsidRDefault="00AE0893">
      <w:pPr>
        <w:spacing w:before="100" w:after="100"/>
      </w:pPr>
    </w:p>
    <w:p w14:paraId="535E7A3E" w14:textId="77777777" w:rsidR="00AE0893" w:rsidRDefault="00000000">
      <w:pPr>
        <w:pStyle w:val="Titre2"/>
      </w:pPr>
      <w:r>
        <w:t>1.5 La CSRD : pas seulement une contrainte, mais une vraie opportunité de marché</w:t>
      </w:r>
    </w:p>
    <w:p w14:paraId="6A848F29" w14:textId="767E4CB8" w:rsidR="00AE0893" w:rsidRDefault="00000000">
      <w:pPr>
        <w:spacing w:before="140" w:after="140" w:line="380" w:lineRule="auto"/>
        <w:jc w:val="both"/>
      </w:pPr>
      <w:r>
        <w:t>Il serait tentant et erroné de voir la CSRD uniquement comme une charge réglementaire supplémentaire. Pour les entreprises qui anticipent et s’y préparent sérieusement, elle ouvre quatre opportunités concrètes.</w:t>
      </w:r>
    </w:p>
    <w:p w14:paraId="7A7514A6" w14:textId="007534AE" w:rsidR="00AE0893" w:rsidRDefault="00000000">
      <w:pPr>
        <w:pStyle w:val="Titre3"/>
      </w:pPr>
      <w:r>
        <w:t>Opportunité 1 Accéder au financement vert à moindre coût</w:t>
      </w:r>
    </w:p>
    <w:p w14:paraId="78A60EB3" w14:textId="7B03242C" w:rsidR="00AE0893" w:rsidRDefault="00000000">
      <w:pPr>
        <w:spacing w:before="140" w:after="140" w:line="380" w:lineRule="auto"/>
        <w:jc w:val="both"/>
      </w:pPr>
      <w:r>
        <w:lastRenderedPageBreak/>
        <w:t>Les banques et les fonds d’investissement européens développent rapidement des produits financiers conditionnés à la performance environnementale : prêts à impact (le taux d’intérêt baisse si l’entreprise atteint ses objectifs environnementaux), obligations vertes (Green Bonds), fonds ESG. Une ETI capable de publier un rapport CSRD solide et vérifié devient éligible à ces financements souvent moins chers que les crédits classiques. Dans notre enquête, trois ETI avaient directement négocié des conditions de financement plus favorables grâce à leurs performances CSRD documentées.</w:t>
      </w:r>
    </w:p>
    <w:p w14:paraId="158EE689" w14:textId="68643B1C" w:rsidR="00AE0893" w:rsidRDefault="00000000">
      <w:pPr>
        <w:pStyle w:val="Titre3"/>
      </w:pPr>
      <w:r>
        <w:t>Opportunité 2 Gagner de nouveaux marchés et garder ses clients existants</w:t>
      </w:r>
    </w:p>
    <w:p w14:paraId="262ED2D7" w14:textId="642AE5B1" w:rsidR="00AE0893" w:rsidRDefault="00000000">
      <w:pPr>
        <w:spacing w:before="140" w:after="140" w:line="380" w:lineRule="auto"/>
        <w:jc w:val="both"/>
      </w:pPr>
      <w:r>
        <w:t>De nombreux appels d’offres publics et privés intègrent désormais des critères environnementaux parfois éliminatoires. Un acheteur grand groupe soumis à la CSRD préférera naturellement un fournisseur qui peut lui fournir ses données carbone, qui est certifié ISO 14001 et qui publie un rapport de durabilité vérifié. Pour une ETI ou une PME, investir dans sa démarche CSRD aujourd’hui, c’est sécuriser ses contrats de demain.</w:t>
      </w:r>
    </w:p>
    <w:p w14:paraId="6D5B3701" w14:textId="76432176" w:rsidR="00AE0893" w:rsidRDefault="00000000">
      <w:pPr>
        <w:pStyle w:val="Titre3"/>
      </w:pPr>
      <w:r>
        <w:t>Opportunité 3 Attirer et fidéliser les talents</w:t>
      </w:r>
    </w:p>
    <w:p w14:paraId="5F5A0458" w14:textId="6A49402E" w:rsidR="00AE0893" w:rsidRDefault="00000000">
      <w:pPr>
        <w:spacing w:before="140" w:after="140" w:line="380" w:lineRule="auto"/>
        <w:jc w:val="both"/>
      </w:pPr>
      <w:r>
        <w:t>Les études convergent : les jeunes diplômés et les cadres qualifiés choisissent de plus en plus leurs employeurs sur la base de leurs engagements environnementaux réels. Une entreprise capable de montrer, chiffres vérifiables à l’appui, qu’elle réduit ses émissions, gére ses risques climatiques et s’inscrit dans une trajectoire de transition, dispose d’un avantage compétitif réel sur le marché du recrutement.</w:t>
      </w:r>
    </w:p>
    <w:p w14:paraId="1B657BDD" w14:textId="699AD720" w:rsidR="00AE0893" w:rsidRDefault="00000000">
      <w:pPr>
        <w:pStyle w:val="Titre3"/>
      </w:pPr>
      <w:r>
        <w:t>Opportunité 4 Anticiper les prochaines étapes réglementaires</w:t>
      </w:r>
    </w:p>
    <w:p w14:paraId="1F4D833C" w14:textId="3B806BD2" w:rsidR="00AE0893" w:rsidRDefault="00000000">
      <w:pPr>
        <w:spacing w:before="140" w:after="140" w:line="380" w:lineRule="auto"/>
        <w:jc w:val="both"/>
      </w:pPr>
      <w:r>
        <w:t>La CSRD n’est pas la dernière étape. Le mécanisme d’ajustement carbone aux frontières (CBAM) pénalise les importations depuis des pays sans prix carbone. La directive sur le devoir de vigilance (CSDD) oblige les grandes entreprises à surveiller leurs fournisseurs sur les risques environnementaux et sociaux. La révision de la directive ETS va étendre le marché carbone. Les entreprises qui construisent aujourd’hui leur système de management environnemental et leur reporting CSRD s’équipent d’une infrastructure de conformité qui leur servira pour toutes ces évolutions à venir.</w:t>
      </w:r>
    </w:p>
    <w:p w14:paraId="7BB0663E" w14:textId="77777777" w:rsidR="00AE0893" w:rsidRDefault="00AE0893">
      <w:pPr>
        <w:spacing w:before="60" w:after="60"/>
      </w:pPr>
    </w:p>
    <w:p w14:paraId="394F435F" w14:textId="77777777" w:rsidR="00AE0893" w:rsidRDefault="00000000">
      <w:pPr>
        <w:pStyle w:val="Titre2"/>
      </w:pPr>
      <w:r>
        <w:t>1.6 Pourquoi les ETI industrielles sont au cœur du sujet</w:t>
      </w:r>
    </w:p>
    <w:p w14:paraId="30D86E40" w14:textId="71FF3E5C" w:rsidR="00AE0893" w:rsidRDefault="00000000">
      <w:pPr>
        <w:spacing w:before="140" w:after="140" w:line="380" w:lineRule="auto"/>
        <w:jc w:val="both"/>
      </w:pPr>
      <w:r>
        <w:lastRenderedPageBreak/>
        <w:t>Les ETI industrielles françaises entreprises de 250 à 4 999 salariés du secteur manufacturier occupent une position stratégique dans ce contexte. Elles emploient 3,3 millions de salariés et réalisent 26% de la valeur ajoutée industrielle nationale (INSEE, 2023). Elles sont à la charnière : en aval des grands groupes qui leur demandent déjà leurs données RSE, et en amont de milliers de PME sous-traitantes qu’elles vont à leur tour entraîner dans le mouvement. Ce sont elles qui feront ou non réussir la transition vers un reporting de durabilité crédible et généralisé.</w:t>
      </w:r>
    </w:p>
    <w:p w14:paraId="7A0A65D0" w14:textId="77777777" w:rsidR="00AE0893" w:rsidRDefault="00000000">
      <w:pPr>
        <w:spacing w:before="140" w:after="140" w:line="380" w:lineRule="auto"/>
        <w:jc w:val="both"/>
      </w:pPr>
      <w:r>
        <w:t>Et pourtant, ce sont elles qui sont les moins documentées dans la littérature académique sur la CSRD. C’est cette lacune que cet article cherche à combler.</w:t>
      </w:r>
    </w:p>
    <w:p w14:paraId="7BF0D139" w14:textId="77777777" w:rsidR="00AE0893" w:rsidRDefault="00AE0893">
      <w:pPr>
        <w:spacing w:before="60" w:after="60"/>
      </w:pPr>
    </w:p>
    <w:p w14:paraId="609770DD" w14:textId="77777777" w:rsidR="00AE0893" w:rsidRDefault="00000000">
      <w:pPr>
        <w:pStyle w:val="Titre2"/>
      </w:pPr>
      <w:r>
        <w:t>1.7 Notre question de recherche</w:t>
      </w:r>
    </w:p>
    <w:p w14:paraId="2CD1C38D" w14:textId="514FB1FE" w:rsidR="00AE0893" w:rsidRDefault="00000000">
      <w:pPr>
        <w:spacing w:before="140" w:after="140" w:line="380" w:lineRule="auto"/>
        <w:jc w:val="both"/>
      </w:pPr>
      <w:r>
        <w:t>Dans quelle mesure les ETI industrielles françaises s’approprient-elles le principe de double matérialité au-delà de la seule conformité réglementaire ? Et quels facteurs organisationnels — notamment l'existence d'un système de management environnemental formalisé — déterminent leur niveau d’appropriation de la double matérialité au-delà de la simple conformité ?</w:t>
      </w:r>
    </w:p>
    <w:p w14:paraId="0647B5F8" w14:textId="77777777" w:rsidR="00AE0893" w:rsidRDefault="00000000">
      <w:pPr>
        <w:spacing w:before="140" w:after="140" w:line="380" w:lineRule="auto"/>
        <w:jc w:val="both"/>
      </w:pPr>
      <w:r>
        <w:t>Trois questions dérivées structurent notre investigation :</w:t>
      </w:r>
    </w:p>
    <w:p w14:paraId="081C91FC" w14:textId="49B5EC3F" w:rsidR="00AE0893" w:rsidRDefault="00000000">
      <w:pPr>
        <w:pStyle w:val="Paragraphedeliste"/>
        <w:numPr>
          <w:ilvl w:val="0"/>
          <w:numId w:val="2"/>
        </w:numPr>
        <w:spacing w:before="80" w:after="80" w:line="360" w:lineRule="auto"/>
        <w:jc w:val="both"/>
      </w:pPr>
      <w:r>
        <w:t>QR1 Comment les ETI industrielles françaises comprennent-elles et mettent-elles en œuvre le principe de double matérialité dans leur processus CSRD ?</w:t>
      </w:r>
    </w:p>
    <w:p w14:paraId="4B192E70" w14:textId="05CB4E2D" w:rsidR="00AE0893" w:rsidRDefault="00000000">
      <w:pPr>
        <w:pStyle w:val="Paragraphedeliste"/>
        <w:numPr>
          <w:ilvl w:val="0"/>
          <w:numId w:val="2"/>
        </w:numPr>
        <w:spacing w:before="80" w:after="80" w:line="360" w:lineRule="auto"/>
        <w:jc w:val="both"/>
      </w:pPr>
      <w:r>
        <w:t>QR2 Quels facteurs organisationnels (taille, secteur, certification ISO, gouvernance) déterminent le niveau d’appropriation stratégique de la double matérialité ?</w:t>
      </w:r>
    </w:p>
    <w:p w14:paraId="201759E1" w14:textId="35724A84" w:rsidR="00AE0893" w:rsidRDefault="00000000">
      <w:pPr>
        <w:pStyle w:val="Paragraphedeliste"/>
        <w:numPr>
          <w:ilvl w:val="0"/>
          <w:numId w:val="2"/>
        </w:numPr>
        <w:spacing w:before="80" w:after="80" w:line="360" w:lineRule="auto"/>
        <w:jc w:val="both"/>
      </w:pPr>
      <w:r>
        <w:t>QR3 Quels facteurs organisationnels — dont l’existence d’un système de management environnemental formalisé — sont associés à un niveau d’appropriation plus élevé de la double matérialité, et par quels mécanismes ?</w:t>
      </w:r>
    </w:p>
    <w:p w14:paraId="3ADFC263" w14:textId="77777777" w:rsidR="00AE0893" w:rsidRDefault="00AE0893">
      <w:pPr>
        <w:spacing w:before="60" w:after="60"/>
      </w:pPr>
    </w:p>
    <w:p w14:paraId="35312BE7" w14:textId="77777777" w:rsidR="00AE0893" w:rsidRDefault="00000000">
      <w:r>
        <w:br w:type="page"/>
      </w:r>
    </w:p>
    <w:p w14:paraId="3A6E11E3" w14:textId="77777777" w:rsidR="00AE0893" w:rsidRDefault="00000000">
      <w:pPr>
        <w:pStyle w:val="Titre1"/>
      </w:pPr>
      <w:r>
        <w:lastRenderedPageBreak/>
        <w:t>2. Cadre théorique et revue de littérature</w:t>
      </w:r>
    </w:p>
    <w:p w14:paraId="2BB10A8E" w14:textId="57D47C40" w:rsidR="00AE0893" w:rsidRDefault="00000000">
      <w:pPr>
        <w:pStyle w:val="Titre2"/>
      </w:pPr>
      <w:r>
        <w:t>2.1 La double matérialité : de la théorie à la pratique normée</w:t>
      </w:r>
    </w:p>
    <w:p w14:paraId="41EEC24D" w14:textId="487F1707" w:rsidR="00AE0893" w:rsidRDefault="00000000">
      <w:pPr>
        <w:spacing w:before="140" w:after="140" w:line="380" w:lineRule="auto"/>
        <w:jc w:val="both"/>
      </w:pPr>
      <w:r>
        <w:t>Le concept de matérialité est né dans la comptabilité financière : une information est matérielle si elle est susceptible d’influencer les décisions des utilisateurs des états financiers (IASB, 2018). Son application au domaine environnemental et social a été progressive : le GRI l’a introduit dès 2000, le TCFD l’a appliqué avec une optique investisseurs en 2017, et l’IIRC l’a intégré dans son cadre de reporting intégré en 2013.</w:t>
      </w:r>
    </w:p>
    <w:p w14:paraId="7FA0E035" w14:textId="77777777" w:rsidR="00AE0893" w:rsidRDefault="00000000">
      <w:pPr>
        <w:spacing w:before="140" w:after="140" w:line="380" w:lineRule="auto"/>
        <w:jc w:val="both"/>
      </w:pPr>
      <w:r>
        <w:t>La double matérialité représente une rupture par rapport à ces approches. Pour la première fois dans un cadre réglementaire contraignant, elle impose une symétrie : l’entreprise est à la fois agent impactant l’environnement (inside-out) et entité impactée par les enjeux environnementaux (outside-in). L’EFRAG a formalisé cette double lecture dans les ESRS en distinguant l’analyse d’impact (effets effectifs ou potentiels sur les personnes et la planète) et l’analyse de risques/opportunités financiers (effets des enjeux de durabilité sur la performance financière).</w:t>
      </w:r>
    </w:p>
    <w:p w14:paraId="59C64218" w14:textId="77777777" w:rsidR="00AE0893" w:rsidRDefault="00000000">
      <w:pPr>
        <w:pStyle w:val="Titre2"/>
      </w:pPr>
      <w:r>
        <w:t>2.2 La théorie institutionnelle comme grille d’analyse</w:t>
      </w:r>
    </w:p>
    <w:p w14:paraId="25E281D7" w14:textId="6207CC42" w:rsidR="00AE0893" w:rsidRDefault="00000000">
      <w:pPr>
        <w:spacing w:before="140" w:after="140" w:line="380" w:lineRule="auto"/>
        <w:jc w:val="both"/>
      </w:pPr>
      <w:r>
        <w:t>La théorie institutionnelle (DiMaggio et Powell, 1983 ; Scott, 1995) explique pourquoi les entreprises adoptent ou résistent à de nouvelles pratiques de reporting. Elle distingue trois types de pressions : les pressions coercitives (obligations légales, sanctions), les pressions mimétiques (imitation des concurrents en contexte d’incertitude) et les pressions normatives (diffusion de bonnes pratiques par les consultants, auditeurs et associations professionnelles). La CSRD génère une combinaison particulièrement puissante de ces trois pressions : obligation légale (coercitive) amplifiée par l’effet boule de neige des chaînes de valeur (mimétique) et relayée par tout un écosystème de consultants CSRD et d’auditeurs ESG (normative).</w:t>
      </w:r>
    </w:p>
    <w:p w14:paraId="7D9BD6E4" w14:textId="678BE1E1" w:rsidR="00AE0893" w:rsidRDefault="00000000">
      <w:pPr>
        <w:spacing w:before="140" w:after="140" w:line="380" w:lineRule="auto"/>
        <w:jc w:val="both"/>
      </w:pPr>
      <w:r>
        <w:t>Cette grille d’analyse permet de distinguer deux formes d’adoption : l’adoption symbolique (faire semblant de se conformer pour éviter les sanctions) et l’adoption substantielle (intégrer véritablement les pratiques dans les processus de gestion). Nous posons l’hypothèse que la CSRD, par la force de ses mécanismes de vérification et de sanction, rend l’adoption purement symbolique de plus en plus difficile forçant les entreprises vers une appropriation plus profonde.</w:t>
      </w:r>
    </w:p>
    <w:p w14:paraId="5E8FD519" w14:textId="77777777" w:rsidR="00AE0893" w:rsidRDefault="00000000">
      <w:pPr>
        <w:pStyle w:val="Titre2"/>
      </w:pPr>
      <w:r>
        <w:lastRenderedPageBreak/>
        <w:t>2.3 Le continuum ISO 14001 vers CSRD</w:t>
      </w:r>
    </w:p>
    <w:p w14:paraId="4EEF0C0E" w14:textId="77777777" w:rsidR="00AE0893" w:rsidRDefault="00000000">
      <w:pPr>
        <w:spacing w:before="140" w:after="140" w:line="380" w:lineRule="auto"/>
        <w:jc w:val="both"/>
      </w:pPr>
      <w:r>
        <w:t>Un élément central de notre recherche est la relation entre les systèmes de management environnemental certifiés (ISO 14001, EMAS) et le reporting CSRD. Ces deux dispositifs partagent une architecture similaire que peu de travaux académiques ont encore documentés.</w:t>
      </w:r>
    </w:p>
    <w:p w14:paraId="43AE451C" w14:textId="02F252A2" w:rsidR="00AE0893" w:rsidRDefault="00000000">
      <w:pPr>
        <w:spacing w:before="140" w:after="140" w:line="380" w:lineRule="auto"/>
        <w:jc w:val="both"/>
      </w:pPr>
      <w:r>
        <w:t>L’identification des aspects et impacts environnementaux significatifs (ISO 14001, clause 6.1.2) correspond structurellement à l’analyse d’impact de la double matérialité ESRS. L’analyse du contexte et des parties prenantes (ISO 14001, clauses 4.1-4.2) préfigure l’analyse des parties prenantes exigée par les ESRS. Les objectifs et indicateurs de performance (ISO 14001, clause 6.2) constituent le socle des KPI requis par les ESRS E1 à E5. En d’autres termes, une entreprise certifiée ISO 14001 depuis plusieurs années a déjà construit, une partie de l’infrastructure dont elle a besoin pour mettre en œuvre la CSRD.</w:t>
      </w:r>
    </w:p>
    <w:p w14:paraId="0F9E1CB7" w14:textId="5A73508D" w:rsidR="00AE0893" w:rsidRDefault="00000000">
      <w:pPr>
        <w:spacing w:before="140" w:after="140" w:line="380" w:lineRule="auto"/>
        <w:jc w:val="both"/>
      </w:pPr>
      <w:r>
        <w:t>Nous posons l’hypothèse H1 : les ETI certifiées ISO 14001 présentent un niveau d’appropriation stratégique de la double matérialité plus élevé — association qualitative sur nos douze cas, qui appelle une validation sur un échantillon représentatif.</w:t>
      </w:r>
    </w:p>
    <w:p w14:paraId="3FC04E48" w14:textId="77777777" w:rsidR="00AE0893" w:rsidRDefault="00AE0893">
      <w:pPr>
        <w:spacing w:before="60" w:after="60"/>
      </w:pPr>
    </w:p>
    <w:p w14:paraId="4F87E3AB" w14:textId="77777777" w:rsidR="00AE0893" w:rsidRDefault="00000000">
      <w:r>
        <w:br w:type="page"/>
      </w:r>
    </w:p>
    <w:p w14:paraId="2B35E3D9" w14:textId="77777777" w:rsidR="00AE0893" w:rsidRDefault="00000000">
      <w:pPr>
        <w:pStyle w:val="Titre1"/>
      </w:pPr>
      <w:r>
        <w:lastRenderedPageBreak/>
        <w:t>3. Méthodologie</w:t>
      </w:r>
    </w:p>
    <w:p w14:paraId="4D72D5AC" w14:textId="77777777" w:rsidR="00AE0893" w:rsidRDefault="00000000">
      <w:pPr>
        <w:pStyle w:val="Titre2"/>
      </w:pPr>
      <w:r>
        <w:t>3.1 Design de la recherche et positionnement épistémologique</w:t>
      </w:r>
    </w:p>
    <w:p w14:paraId="497BF928" w14:textId="4E471A99" w:rsidR="00AE0893" w:rsidRDefault="00000000">
      <w:pPr>
        <w:spacing w:before="140" w:after="140" w:line="380" w:lineRule="auto"/>
        <w:jc w:val="both"/>
      </w:pPr>
      <w:r>
        <w:t>Face à un phénomène aussi récent la CSRD étant entrée en vigueur en 2024 nous avons adopté un design qualitatif à visée interprétative (Denzin et Lincoln, 2017). L’approche par études de cas multiples (Yin, 2018) permet d’examiner en profondeur les mécanismes d’adoption dans leur contexte organisationnel, tout en cherchant des régularités entre entreprises.</w:t>
      </w:r>
    </w:p>
    <w:p w14:paraId="34124CEC" w14:textId="77777777" w:rsidR="00AE0893" w:rsidRDefault="00000000">
      <w:pPr>
        <w:pStyle w:val="Titre2"/>
      </w:pPr>
      <w:r>
        <w:t>3.2 Échantillon et protocole éthique</w:t>
      </w:r>
    </w:p>
    <w:p w14:paraId="3D1DC7F6" w14:textId="77777777" w:rsidR="00AE0893" w:rsidRDefault="00000000">
      <w:pPr>
        <w:spacing w:before="140" w:after="140" w:line="380" w:lineRule="auto"/>
        <w:jc w:val="both"/>
      </w:pPr>
      <w:r>
        <w:t>Nous avons constitué un échantillon raisonné de douze ETI industrielles françaises (purposive sampling, Patton, 2002), sélectionnées selon quatre critères : effectif entre 250 et 4 999 salariés (définition INSEE des ETI, distincte de la définition CE des PME &lt; 250 sal.) ; secteur industriel (codes NAF 10 à 39) ; implantation principale en France métropolitaine ; première soumission CSRD prévue pour 2026 ou 2027. Les ETI ont été identifiées via le réseau professionnel de l’auteur, les associations sectorielles (UIMM, ANIA) et la base de données Orbis (Bureau van Dijk).</w:t>
      </w:r>
    </w:p>
    <w:p w14:paraId="3A8CF41F" w14:textId="69AFACC8" w:rsidR="00AE0893" w:rsidRDefault="00000000">
      <w:pPr>
        <w:spacing w:before="140" w:after="140" w:line="380" w:lineRule="auto"/>
        <w:jc w:val="both"/>
      </w:pPr>
      <w:r>
        <w:t>Protocole éthique et anonymisation : conformément aux exigences du RGPD et aux recommandations de l’AOM en matière d’éthique de la recherche, chaque ETI participante a signé un accord de participation garantissant : le droit de retrait à tout moment, l’anonymisation systématique de l’entreprise et des répondants dans toutes les publications, l’utilisation des données exclusivement à des fins de recherche académique. Les codes ETI-A à ETI-L sont des identifiants fictifs. Les caractéristiques numériques (effectif, CA) ont été légèrement modifiées pour renforcer l’anonymisation tout en préservant les ordres de grandeur sectoriels. Les guides d’entretien, grilles de codage et matrices de cas sont disponibles auprès de l’auteur sur demande.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1800"/>
        <w:gridCol w:w="1000"/>
        <w:gridCol w:w="1000"/>
        <w:gridCol w:w="1360"/>
        <w:gridCol w:w="2000"/>
        <w:gridCol w:w="1000"/>
      </w:tblGrid>
      <w:tr w:rsidR="00AE0893" w14:paraId="1C01A60C" w14:textId="77777777">
        <w:tblPrEx>
          <w:tblCellMar>
            <w:top w:w="0" w:type="dxa"/>
            <w:bottom w:w="0" w:type="dxa"/>
          </w:tblCellMar>
        </w:tblPrEx>
        <w:tc>
          <w:tcPr>
            <w:tcW w:w="9360" w:type="dxa"/>
            <w:gridSpan w:val="7"/>
            <w:tcBorders>
              <w:top w:val="none" w:sz="0" w:space="0" w:color="FFFFFF"/>
              <w:left w:val="none" w:sz="0" w:space="0" w:color="FFFFFF"/>
              <w:bottom w:val="none" w:sz="0" w:space="0" w:color="FFFFFF"/>
              <w:right w:val="none" w:sz="0" w:space="0" w:color="FFFFFF"/>
            </w:tcBorders>
            <w:shd w:val="clear" w:color="auto" w:fill="1A2D4A"/>
            <w:tcMar>
              <w:top w:w="60" w:type="dxa"/>
              <w:left w:w="160" w:type="dxa"/>
              <w:bottom w:w="60" w:type="dxa"/>
              <w:right w:w="160" w:type="dxa"/>
            </w:tcMar>
          </w:tcPr>
          <w:p w14:paraId="4C7E153D" w14:textId="77777777" w:rsidR="00AE0893" w:rsidRDefault="00000000">
            <w:pPr>
              <w:jc w:val="center"/>
            </w:pPr>
            <w:r>
              <w:rPr>
                <w:b/>
                <w:bCs/>
                <w:color w:val="FFFFFF"/>
                <w:sz w:val="19"/>
                <w:szCs w:val="19"/>
              </w:rPr>
              <w:t>Tableau 2 — Caractéristiques de l’échantillon (n=12 ETI industrielles françaises)</w:t>
            </w:r>
          </w:p>
        </w:tc>
      </w:tr>
      <w:tr w:rsidR="00AE0893" w14:paraId="35E4B72E" w14:textId="77777777">
        <w:tblPrEx>
          <w:tblCellMar>
            <w:top w:w="0" w:type="dxa"/>
            <w:bottom w:w="0" w:type="dxa"/>
          </w:tblCellMar>
        </w:tblPrEx>
        <w:trPr>
          <w:gridAfter w:val="1"/>
          <w:wAfter w:w="359" w:type="dxa"/>
        </w:trPr>
        <w:tc>
          <w:tcPr>
            <w:tcW w:w="1200" w:type="dxa"/>
            <w:tcBorders>
              <w:top w:val="single" w:sz="1" w:space="0" w:color="1A2D4A"/>
              <w:left w:val="single" w:sz="1" w:space="0" w:color="1A2D4A"/>
              <w:bottom w:val="single" w:sz="1" w:space="0" w:color="1A2D4A"/>
              <w:right w:val="single" w:sz="1" w:space="0" w:color="1A2D4A"/>
            </w:tcBorders>
            <w:shd w:val="clear" w:color="auto" w:fill="1A2D4A"/>
            <w:tcMar>
              <w:top w:w="60" w:type="dxa"/>
              <w:left w:w="80" w:type="dxa"/>
              <w:bottom w:w="60" w:type="dxa"/>
              <w:right w:w="80" w:type="dxa"/>
            </w:tcMar>
          </w:tcPr>
          <w:p w14:paraId="064BC885" w14:textId="77777777" w:rsidR="00AE0893" w:rsidRDefault="00000000">
            <w:pPr>
              <w:jc w:val="center"/>
            </w:pPr>
            <w:r>
              <w:rPr>
                <w:b/>
                <w:bCs/>
                <w:color w:val="FFFFFF"/>
                <w:sz w:val="17"/>
                <w:szCs w:val="17"/>
              </w:rPr>
              <w:t>ETI</w:t>
            </w:r>
          </w:p>
        </w:tc>
        <w:tc>
          <w:tcPr>
            <w:tcW w:w="1800" w:type="dxa"/>
            <w:tcBorders>
              <w:top w:val="single" w:sz="1" w:space="0" w:color="1A2D4A"/>
              <w:left w:val="single" w:sz="1" w:space="0" w:color="1A2D4A"/>
              <w:bottom w:val="single" w:sz="1" w:space="0" w:color="1A2D4A"/>
              <w:right w:val="single" w:sz="1" w:space="0" w:color="1A2D4A"/>
            </w:tcBorders>
            <w:shd w:val="clear" w:color="auto" w:fill="1A2D4A"/>
            <w:tcMar>
              <w:top w:w="60" w:type="dxa"/>
              <w:left w:w="80" w:type="dxa"/>
              <w:bottom w:w="60" w:type="dxa"/>
              <w:right w:w="80" w:type="dxa"/>
            </w:tcMar>
          </w:tcPr>
          <w:p w14:paraId="24584599" w14:textId="77777777" w:rsidR="00AE0893" w:rsidRDefault="00000000">
            <w:pPr>
              <w:jc w:val="center"/>
            </w:pPr>
            <w:r>
              <w:rPr>
                <w:b/>
                <w:bCs/>
                <w:color w:val="FFFFFF"/>
                <w:sz w:val="17"/>
                <w:szCs w:val="17"/>
              </w:rPr>
              <w:t>Secteur</w:t>
            </w:r>
          </w:p>
        </w:tc>
        <w:tc>
          <w:tcPr>
            <w:tcW w:w="1000" w:type="dxa"/>
            <w:tcBorders>
              <w:top w:val="single" w:sz="1" w:space="0" w:color="1A2D4A"/>
              <w:left w:val="single" w:sz="1" w:space="0" w:color="1A2D4A"/>
              <w:bottom w:val="single" w:sz="1" w:space="0" w:color="1A2D4A"/>
              <w:right w:val="single" w:sz="1" w:space="0" w:color="1A2D4A"/>
            </w:tcBorders>
            <w:shd w:val="clear" w:color="auto" w:fill="1A2D4A"/>
            <w:tcMar>
              <w:top w:w="60" w:type="dxa"/>
              <w:left w:w="80" w:type="dxa"/>
              <w:bottom w:w="60" w:type="dxa"/>
              <w:right w:w="80" w:type="dxa"/>
            </w:tcMar>
          </w:tcPr>
          <w:p w14:paraId="6972C9A8" w14:textId="77777777" w:rsidR="00AE0893" w:rsidRDefault="00000000">
            <w:pPr>
              <w:jc w:val="center"/>
            </w:pPr>
            <w:r>
              <w:rPr>
                <w:b/>
                <w:bCs/>
                <w:color w:val="FFFFFF"/>
                <w:sz w:val="17"/>
                <w:szCs w:val="17"/>
              </w:rPr>
              <w:t>Effectif</w:t>
            </w:r>
          </w:p>
        </w:tc>
        <w:tc>
          <w:tcPr>
            <w:tcW w:w="1000" w:type="dxa"/>
            <w:tcBorders>
              <w:top w:val="single" w:sz="1" w:space="0" w:color="1A2D4A"/>
              <w:left w:val="single" w:sz="1" w:space="0" w:color="1A2D4A"/>
              <w:bottom w:val="single" w:sz="1" w:space="0" w:color="1A2D4A"/>
              <w:right w:val="single" w:sz="1" w:space="0" w:color="1A2D4A"/>
            </w:tcBorders>
            <w:shd w:val="clear" w:color="auto" w:fill="1A2D4A"/>
            <w:tcMar>
              <w:top w:w="60" w:type="dxa"/>
              <w:left w:w="80" w:type="dxa"/>
              <w:bottom w:w="60" w:type="dxa"/>
              <w:right w:w="80" w:type="dxa"/>
            </w:tcMar>
          </w:tcPr>
          <w:p w14:paraId="73AF3261" w14:textId="77777777" w:rsidR="00AE0893" w:rsidRDefault="00000000">
            <w:pPr>
              <w:jc w:val="center"/>
            </w:pPr>
            <w:r>
              <w:rPr>
                <w:b/>
                <w:bCs/>
                <w:color w:val="FFFFFF"/>
                <w:sz w:val="17"/>
                <w:szCs w:val="17"/>
              </w:rPr>
              <w:t>CA M€</w:t>
            </w:r>
          </w:p>
        </w:tc>
        <w:tc>
          <w:tcPr>
            <w:tcW w:w="1360" w:type="dxa"/>
            <w:tcBorders>
              <w:top w:val="single" w:sz="1" w:space="0" w:color="1A2D4A"/>
              <w:left w:val="single" w:sz="1" w:space="0" w:color="1A2D4A"/>
              <w:bottom w:val="single" w:sz="1" w:space="0" w:color="1A2D4A"/>
              <w:right w:val="single" w:sz="1" w:space="0" w:color="1A2D4A"/>
            </w:tcBorders>
            <w:shd w:val="clear" w:color="auto" w:fill="1A2D4A"/>
            <w:tcMar>
              <w:top w:w="60" w:type="dxa"/>
              <w:left w:w="80" w:type="dxa"/>
              <w:bottom w:w="60" w:type="dxa"/>
              <w:right w:w="80" w:type="dxa"/>
            </w:tcMar>
          </w:tcPr>
          <w:p w14:paraId="232CB936" w14:textId="77777777" w:rsidR="00AE0893" w:rsidRDefault="00000000">
            <w:pPr>
              <w:jc w:val="center"/>
            </w:pPr>
            <w:r>
              <w:rPr>
                <w:b/>
                <w:bCs/>
                <w:color w:val="FFFFFF"/>
                <w:sz w:val="17"/>
                <w:szCs w:val="17"/>
              </w:rPr>
              <w:t>ISO 14001</w:t>
            </w:r>
          </w:p>
        </w:tc>
        <w:tc>
          <w:tcPr>
            <w:tcW w:w="2000" w:type="dxa"/>
            <w:tcBorders>
              <w:top w:val="single" w:sz="1" w:space="0" w:color="1A2D4A"/>
              <w:left w:val="single" w:sz="1" w:space="0" w:color="1A2D4A"/>
              <w:bottom w:val="single" w:sz="1" w:space="0" w:color="1A2D4A"/>
              <w:right w:val="single" w:sz="1" w:space="0" w:color="1A2D4A"/>
            </w:tcBorders>
            <w:shd w:val="clear" w:color="auto" w:fill="1A2D4A"/>
            <w:tcMar>
              <w:top w:w="60" w:type="dxa"/>
              <w:left w:w="80" w:type="dxa"/>
              <w:bottom w:w="60" w:type="dxa"/>
              <w:right w:w="80" w:type="dxa"/>
            </w:tcMar>
          </w:tcPr>
          <w:p w14:paraId="05CA1DC5" w14:textId="77777777" w:rsidR="00AE0893" w:rsidRDefault="00000000">
            <w:pPr>
              <w:jc w:val="center"/>
            </w:pPr>
            <w:r>
              <w:rPr>
                <w:b/>
                <w:bCs/>
                <w:color w:val="FFFFFF"/>
                <w:sz w:val="17"/>
                <w:szCs w:val="17"/>
              </w:rPr>
              <w:t>Profil</w:t>
            </w:r>
          </w:p>
        </w:tc>
      </w:tr>
      <w:tr w:rsidR="00AE0893" w14:paraId="22348B76" w14:textId="77777777">
        <w:tblPrEx>
          <w:tblCellMar>
            <w:top w:w="0" w:type="dxa"/>
            <w:bottom w:w="0" w:type="dxa"/>
          </w:tblCellMar>
        </w:tblPrEx>
        <w:trPr>
          <w:gridAfter w:val="1"/>
          <w:wAfter w:w="359" w:type="dxa"/>
        </w:trPr>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80" w:type="dxa"/>
              <w:bottom w:w="50" w:type="dxa"/>
              <w:right w:w="80" w:type="dxa"/>
            </w:tcMar>
          </w:tcPr>
          <w:p w14:paraId="2254246C" w14:textId="77777777" w:rsidR="00AE0893" w:rsidRDefault="00000000">
            <w:pPr>
              <w:jc w:val="center"/>
            </w:pPr>
            <w:r>
              <w:rPr>
                <w:b/>
                <w:bCs/>
                <w:color w:val="1A2D4A"/>
                <w:sz w:val="17"/>
                <w:szCs w:val="17"/>
              </w:rPr>
              <w:t>ETI-A</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80" w:type="dxa"/>
              <w:bottom w:w="50" w:type="dxa"/>
              <w:right w:w="80" w:type="dxa"/>
            </w:tcMar>
          </w:tcPr>
          <w:p w14:paraId="11060C5E" w14:textId="5AD4957B" w:rsidR="00AE0893" w:rsidRDefault="00000000">
            <w:r>
              <w:rPr>
                <w:sz w:val="17"/>
                <w:szCs w:val="17"/>
              </w:rPr>
              <w:t>Chimie spéciale</w:t>
            </w:r>
          </w:p>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80" w:type="dxa"/>
              <w:bottom w:w="50" w:type="dxa"/>
              <w:right w:w="80" w:type="dxa"/>
            </w:tcMar>
          </w:tcPr>
          <w:p w14:paraId="3015306A" w14:textId="77777777" w:rsidR="00AE0893" w:rsidRDefault="00000000">
            <w:pPr>
              <w:jc w:val="center"/>
            </w:pPr>
            <w:r>
              <w:rPr>
                <w:sz w:val="17"/>
                <w:szCs w:val="17"/>
              </w:rPr>
              <w:t>850</w:t>
            </w:r>
          </w:p>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80" w:type="dxa"/>
              <w:bottom w:w="50" w:type="dxa"/>
              <w:right w:w="80" w:type="dxa"/>
            </w:tcMar>
          </w:tcPr>
          <w:p w14:paraId="37EF2A2D" w14:textId="77777777" w:rsidR="00AE0893" w:rsidRDefault="00000000">
            <w:pPr>
              <w:jc w:val="center"/>
            </w:pPr>
            <w:r>
              <w:rPr>
                <w:sz w:val="17"/>
                <w:szCs w:val="17"/>
              </w:rPr>
              <w:t>120</w:t>
            </w:r>
          </w:p>
        </w:tc>
        <w:tc>
          <w:tcPr>
            <w:tcW w:w="1360" w:type="dxa"/>
            <w:tcBorders>
              <w:top w:val="single" w:sz="1" w:space="0" w:color="CCCCCC"/>
              <w:left w:val="single" w:sz="1" w:space="0" w:color="CCCCCC"/>
              <w:bottom w:val="single" w:sz="1" w:space="0" w:color="CCCCCC"/>
              <w:right w:val="single" w:sz="1" w:space="0" w:color="CCCCCC"/>
            </w:tcBorders>
            <w:shd w:val="clear" w:color="auto" w:fill="FFFFFF"/>
            <w:tcMar>
              <w:top w:w="50" w:type="dxa"/>
              <w:left w:w="80" w:type="dxa"/>
              <w:bottom w:w="50" w:type="dxa"/>
              <w:right w:w="80" w:type="dxa"/>
            </w:tcMar>
          </w:tcPr>
          <w:p w14:paraId="6D31C7C0" w14:textId="77777777" w:rsidR="00AE0893" w:rsidRDefault="00000000">
            <w:pPr>
              <w:jc w:val="center"/>
            </w:pPr>
            <w:r>
              <w:rPr>
                <w:b/>
                <w:bCs/>
                <w:color w:val="1A6B5A"/>
                <w:sz w:val="17"/>
                <w:szCs w:val="17"/>
              </w:rPr>
              <w:t>Oui (2016)</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80" w:type="dxa"/>
              <w:bottom w:w="50" w:type="dxa"/>
              <w:right w:w="80" w:type="dxa"/>
            </w:tcMar>
          </w:tcPr>
          <w:p w14:paraId="29C914ED" w14:textId="77777777" w:rsidR="00AE0893" w:rsidRDefault="00000000">
            <w:r>
              <w:rPr>
                <w:i/>
                <w:iCs/>
                <w:color w:val="2E5F8A"/>
                <w:sz w:val="17"/>
                <w:szCs w:val="17"/>
              </w:rPr>
              <w:t>Opportuniste</w:t>
            </w:r>
          </w:p>
        </w:tc>
      </w:tr>
      <w:tr w:rsidR="00AE0893" w14:paraId="46224B0E" w14:textId="77777777">
        <w:tblPrEx>
          <w:tblCellMar>
            <w:top w:w="0" w:type="dxa"/>
            <w:bottom w:w="0" w:type="dxa"/>
          </w:tblCellMar>
        </w:tblPrEx>
        <w:trPr>
          <w:gridAfter w:val="1"/>
          <w:wAfter w:w="359" w:type="dxa"/>
        </w:trPr>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50" w:type="dxa"/>
              <w:left w:w="80" w:type="dxa"/>
              <w:bottom w:w="50" w:type="dxa"/>
              <w:right w:w="80" w:type="dxa"/>
            </w:tcMar>
          </w:tcPr>
          <w:p w14:paraId="54D6ECA8" w14:textId="77777777" w:rsidR="00AE0893" w:rsidRDefault="00000000">
            <w:pPr>
              <w:jc w:val="center"/>
            </w:pPr>
            <w:r>
              <w:rPr>
                <w:b/>
                <w:bCs/>
                <w:color w:val="1A2D4A"/>
                <w:sz w:val="17"/>
                <w:szCs w:val="17"/>
              </w:rPr>
              <w:t>ETI-B</w:t>
            </w:r>
          </w:p>
        </w:tc>
        <w:tc>
          <w:tcPr>
            <w:tcW w:w="1800" w:type="dxa"/>
            <w:tcBorders>
              <w:top w:val="single" w:sz="1" w:space="0" w:color="CCCCCC"/>
              <w:left w:val="single" w:sz="1" w:space="0" w:color="CCCCCC"/>
              <w:bottom w:val="single" w:sz="1" w:space="0" w:color="CCCCCC"/>
              <w:right w:val="single" w:sz="1" w:space="0" w:color="CCCCCC"/>
            </w:tcBorders>
            <w:shd w:val="clear" w:color="auto" w:fill="F5F5F5"/>
            <w:tcMar>
              <w:top w:w="50" w:type="dxa"/>
              <w:left w:w="80" w:type="dxa"/>
              <w:bottom w:w="50" w:type="dxa"/>
              <w:right w:w="80" w:type="dxa"/>
            </w:tcMar>
          </w:tcPr>
          <w:p w14:paraId="5441CB1D" w14:textId="77777777" w:rsidR="00AE0893" w:rsidRDefault="00000000">
            <w:r>
              <w:rPr>
                <w:sz w:val="17"/>
                <w:szCs w:val="17"/>
              </w:rPr>
              <w:t>Agroalimentaire</w:t>
            </w:r>
          </w:p>
        </w:tc>
        <w:tc>
          <w:tcPr>
            <w:tcW w:w="1000" w:type="dxa"/>
            <w:tcBorders>
              <w:top w:val="single" w:sz="1" w:space="0" w:color="CCCCCC"/>
              <w:left w:val="single" w:sz="1" w:space="0" w:color="CCCCCC"/>
              <w:bottom w:val="single" w:sz="1" w:space="0" w:color="CCCCCC"/>
              <w:right w:val="single" w:sz="1" w:space="0" w:color="CCCCCC"/>
            </w:tcBorders>
            <w:shd w:val="clear" w:color="auto" w:fill="F5F5F5"/>
            <w:tcMar>
              <w:top w:w="50" w:type="dxa"/>
              <w:left w:w="80" w:type="dxa"/>
              <w:bottom w:w="50" w:type="dxa"/>
              <w:right w:w="80" w:type="dxa"/>
            </w:tcMar>
          </w:tcPr>
          <w:p w14:paraId="7B19E874" w14:textId="77777777" w:rsidR="00AE0893" w:rsidRDefault="00000000">
            <w:pPr>
              <w:jc w:val="center"/>
            </w:pPr>
            <w:r>
              <w:rPr>
                <w:sz w:val="17"/>
                <w:szCs w:val="17"/>
              </w:rPr>
              <w:t>1 200</w:t>
            </w:r>
          </w:p>
        </w:tc>
        <w:tc>
          <w:tcPr>
            <w:tcW w:w="1000" w:type="dxa"/>
            <w:tcBorders>
              <w:top w:val="single" w:sz="1" w:space="0" w:color="CCCCCC"/>
              <w:left w:val="single" w:sz="1" w:space="0" w:color="CCCCCC"/>
              <w:bottom w:val="single" w:sz="1" w:space="0" w:color="CCCCCC"/>
              <w:right w:val="single" w:sz="1" w:space="0" w:color="CCCCCC"/>
            </w:tcBorders>
            <w:shd w:val="clear" w:color="auto" w:fill="F5F5F5"/>
            <w:tcMar>
              <w:top w:w="50" w:type="dxa"/>
              <w:left w:w="80" w:type="dxa"/>
              <w:bottom w:w="50" w:type="dxa"/>
              <w:right w:w="80" w:type="dxa"/>
            </w:tcMar>
          </w:tcPr>
          <w:p w14:paraId="2BF7B0F0" w14:textId="77777777" w:rsidR="00AE0893" w:rsidRDefault="00000000">
            <w:pPr>
              <w:jc w:val="center"/>
            </w:pPr>
            <w:r>
              <w:rPr>
                <w:sz w:val="17"/>
                <w:szCs w:val="17"/>
              </w:rPr>
              <w:t>280</w:t>
            </w:r>
          </w:p>
        </w:tc>
        <w:tc>
          <w:tcPr>
            <w:tcW w:w="1360" w:type="dxa"/>
            <w:tcBorders>
              <w:top w:val="single" w:sz="1" w:space="0" w:color="CCCCCC"/>
              <w:left w:val="single" w:sz="1" w:space="0" w:color="CCCCCC"/>
              <w:bottom w:val="single" w:sz="1" w:space="0" w:color="CCCCCC"/>
              <w:right w:val="single" w:sz="1" w:space="0" w:color="CCCCCC"/>
            </w:tcBorders>
            <w:shd w:val="clear" w:color="auto" w:fill="F5F5F5"/>
            <w:tcMar>
              <w:top w:w="50" w:type="dxa"/>
              <w:left w:w="80" w:type="dxa"/>
              <w:bottom w:w="50" w:type="dxa"/>
              <w:right w:w="80" w:type="dxa"/>
            </w:tcMar>
          </w:tcPr>
          <w:p w14:paraId="584BB855" w14:textId="77777777" w:rsidR="00AE0893" w:rsidRDefault="00000000">
            <w:pPr>
              <w:jc w:val="center"/>
            </w:pPr>
            <w:r>
              <w:rPr>
                <w:b/>
                <w:bCs/>
                <w:color w:val="1A6B5A"/>
                <w:sz w:val="17"/>
                <w:szCs w:val="17"/>
              </w:rPr>
              <w:t>Oui (2019)</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50" w:type="dxa"/>
              <w:left w:w="80" w:type="dxa"/>
              <w:bottom w:w="50" w:type="dxa"/>
              <w:right w:w="80" w:type="dxa"/>
            </w:tcMar>
          </w:tcPr>
          <w:p w14:paraId="6BEB8A37" w14:textId="77777777" w:rsidR="00AE0893" w:rsidRDefault="00000000">
            <w:r>
              <w:rPr>
                <w:i/>
                <w:iCs/>
                <w:color w:val="2E5F8A"/>
                <w:sz w:val="17"/>
                <w:szCs w:val="17"/>
              </w:rPr>
              <w:t>Intégrateur</w:t>
            </w:r>
          </w:p>
        </w:tc>
      </w:tr>
      <w:tr w:rsidR="00AE0893" w14:paraId="2412E60C" w14:textId="77777777">
        <w:tblPrEx>
          <w:tblCellMar>
            <w:top w:w="0" w:type="dxa"/>
            <w:bottom w:w="0" w:type="dxa"/>
          </w:tblCellMar>
        </w:tblPrEx>
        <w:trPr>
          <w:gridAfter w:val="1"/>
          <w:wAfter w:w="359" w:type="dxa"/>
        </w:trPr>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80" w:type="dxa"/>
              <w:bottom w:w="50" w:type="dxa"/>
              <w:right w:w="80" w:type="dxa"/>
            </w:tcMar>
          </w:tcPr>
          <w:p w14:paraId="2CA6214B" w14:textId="77777777" w:rsidR="00AE0893" w:rsidRDefault="00000000">
            <w:pPr>
              <w:jc w:val="center"/>
            </w:pPr>
            <w:r>
              <w:rPr>
                <w:b/>
                <w:bCs/>
                <w:color w:val="1A2D4A"/>
                <w:sz w:val="17"/>
                <w:szCs w:val="17"/>
              </w:rPr>
              <w:t>ETI-C</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80" w:type="dxa"/>
              <w:bottom w:w="50" w:type="dxa"/>
              <w:right w:w="80" w:type="dxa"/>
            </w:tcMar>
          </w:tcPr>
          <w:p w14:paraId="7C57FF7A" w14:textId="0B344788" w:rsidR="00AE0893" w:rsidRDefault="00D23940">
            <w:r>
              <w:rPr>
                <w:sz w:val="17"/>
                <w:szCs w:val="17"/>
              </w:rPr>
              <w:t>Matériaux BTP</w:t>
            </w:r>
          </w:p>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80" w:type="dxa"/>
              <w:bottom w:w="50" w:type="dxa"/>
              <w:right w:w="80" w:type="dxa"/>
            </w:tcMar>
          </w:tcPr>
          <w:p w14:paraId="56F0E53A" w14:textId="77777777" w:rsidR="00AE0893" w:rsidRDefault="00000000">
            <w:pPr>
              <w:jc w:val="center"/>
            </w:pPr>
            <w:r>
              <w:rPr>
                <w:sz w:val="17"/>
                <w:szCs w:val="17"/>
              </w:rPr>
              <w:t>650</w:t>
            </w:r>
          </w:p>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80" w:type="dxa"/>
              <w:bottom w:w="50" w:type="dxa"/>
              <w:right w:w="80" w:type="dxa"/>
            </w:tcMar>
          </w:tcPr>
          <w:p w14:paraId="7296D049" w14:textId="77777777" w:rsidR="00AE0893" w:rsidRDefault="00000000">
            <w:pPr>
              <w:jc w:val="center"/>
            </w:pPr>
            <w:r>
              <w:rPr>
                <w:sz w:val="17"/>
                <w:szCs w:val="17"/>
              </w:rPr>
              <w:t>95</w:t>
            </w:r>
          </w:p>
        </w:tc>
        <w:tc>
          <w:tcPr>
            <w:tcW w:w="1360" w:type="dxa"/>
            <w:tcBorders>
              <w:top w:val="single" w:sz="1" w:space="0" w:color="CCCCCC"/>
              <w:left w:val="single" w:sz="1" w:space="0" w:color="CCCCCC"/>
              <w:bottom w:val="single" w:sz="1" w:space="0" w:color="CCCCCC"/>
              <w:right w:val="single" w:sz="1" w:space="0" w:color="CCCCCC"/>
            </w:tcBorders>
            <w:shd w:val="clear" w:color="auto" w:fill="FFFFFF"/>
            <w:tcMar>
              <w:top w:w="50" w:type="dxa"/>
              <w:left w:w="80" w:type="dxa"/>
              <w:bottom w:w="50" w:type="dxa"/>
              <w:right w:w="80" w:type="dxa"/>
            </w:tcMar>
          </w:tcPr>
          <w:p w14:paraId="1EC18824" w14:textId="77777777" w:rsidR="00AE0893" w:rsidRDefault="00000000">
            <w:pPr>
              <w:jc w:val="center"/>
            </w:pPr>
            <w:r>
              <w:rPr>
                <w:b/>
                <w:bCs/>
                <w:color w:val="8B1A1A"/>
                <w:sz w:val="17"/>
                <w:szCs w:val="17"/>
              </w:rPr>
              <w:t>Non</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80" w:type="dxa"/>
              <w:bottom w:w="50" w:type="dxa"/>
              <w:right w:w="80" w:type="dxa"/>
            </w:tcMar>
          </w:tcPr>
          <w:p w14:paraId="01909E3B" w14:textId="77777777" w:rsidR="00AE0893" w:rsidRDefault="00000000">
            <w:r>
              <w:rPr>
                <w:i/>
                <w:iCs/>
                <w:color w:val="2E5F8A"/>
                <w:sz w:val="17"/>
                <w:szCs w:val="17"/>
              </w:rPr>
              <w:t>Conformiste</w:t>
            </w:r>
          </w:p>
        </w:tc>
      </w:tr>
      <w:tr w:rsidR="00AE0893" w14:paraId="0601C5E1" w14:textId="77777777">
        <w:tblPrEx>
          <w:tblCellMar>
            <w:top w:w="0" w:type="dxa"/>
            <w:bottom w:w="0" w:type="dxa"/>
          </w:tblCellMar>
        </w:tblPrEx>
        <w:trPr>
          <w:gridAfter w:val="1"/>
          <w:wAfter w:w="359" w:type="dxa"/>
        </w:trPr>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50" w:type="dxa"/>
              <w:left w:w="80" w:type="dxa"/>
              <w:bottom w:w="50" w:type="dxa"/>
              <w:right w:w="80" w:type="dxa"/>
            </w:tcMar>
          </w:tcPr>
          <w:p w14:paraId="04101F13" w14:textId="77777777" w:rsidR="00AE0893" w:rsidRDefault="00000000">
            <w:pPr>
              <w:jc w:val="center"/>
            </w:pPr>
            <w:r>
              <w:rPr>
                <w:b/>
                <w:bCs/>
                <w:color w:val="1A2D4A"/>
                <w:sz w:val="17"/>
                <w:szCs w:val="17"/>
              </w:rPr>
              <w:t>ETI-D</w:t>
            </w:r>
          </w:p>
        </w:tc>
        <w:tc>
          <w:tcPr>
            <w:tcW w:w="1800" w:type="dxa"/>
            <w:tcBorders>
              <w:top w:val="single" w:sz="1" w:space="0" w:color="CCCCCC"/>
              <w:left w:val="single" w:sz="1" w:space="0" w:color="CCCCCC"/>
              <w:bottom w:val="single" w:sz="1" w:space="0" w:color="CCCCCC"/>
              <w:right w:val="single" w:sz="1" w:space="0" w:color="CCCCCC"/>
            </w:tcBorders>
            <w:shd w:val="clear" w:color="auto" w:fill="F5F5F5"/>
            <w:tcMar>
              <w:top w:w="50" w:type="dxa"/>
              <w:left w:w="80" w:type="dxa"/>
              <w:bottom w:w="50" w:type="dxa"/>
              <w:right w:w="80" w:type="dxa"/>
            </w:tcMar>
          </w:tcPr>
          <w:p w14:paraId="7984CA2B" w14:textId="3DF7C362" w:rsidR="00AE0893" w:rsidRDefault="00D23940">
            <w:r>
              <w:rPr>
                <w:sz w:val="17"/>
                <w:szCs w:val="17"/>
              </w:rPr>
              <w:t>Métallurgie</w:t>
            </w:r>
          </w:p>
        </w:tc>
        <w:tc>
          <w:tcPr>
            <w:tcW w:w="1000" w:type="dxa"/>
            <w:tcBorders>
              <w:top w:val="single" w:sz="1" w:space="0" w:color="CCCCCC"/>
              <w:left w:val="single" w:sz="1" w:space="0" w:color="CCCCCC"/>
              <w:bottom w:val="single" w:sz="1" w:space="0" w:color="CCCCCC"/>
              <w:right w:val="single" w:sz="1" w:space="0" w:color="CCCCCC"/>
            </w:tcBorders>
            <w:shd w:val="clear" w:color="auto" w:fill="F5F5F5"/>
            <w:tcMar>
              <w:top w:w="50" w:type="dxa"/>
              <w:left w:w="80" w:type="dxa"/>
              <w:bottom w:w="50" w:type="dxa"/>
              <w:right w:w="80" w:type="dxa"/>
            </w:tcMar>
          </w:tcPr>
          <w:p w14:paraId="764CC6E5" w14:textId="77777777" w:rsidR="00AE0893" w:rsidRDefault="00000000">
            <w:pPr>
              <w:jc w:val="center"/>
            </w:pPr>
            <w:r>
              <w:rPr>
                <w:sz w:val="17"/>
                <w:szCs w:val="17"/>
              </w:rPr>
              <w:t>2 100</w:t>
            </w:r>
          </w:p>
        </w:tc>
        <w:tc>
          <w:tcPr>
            <w:tcW w:w="1000" w:type="dxa"/>
            <w:tcBorders>
              <w:top w:val="single" w:sz="1" w:space="0" w:color="CCCCCC"/>
              <w:left w:val="single" w:sz="1" w:space="0" w:color="CCCCCC"/>
              <w:bottom w:val="single" w:sz="1" w:space="0" w:color="CCCCCC"/>
              <w:right w:val="single" w:sz="1" w:space="0" w:color="CCCCCC"/>
            </w:tcBorders>
            <w:shd w:val="clear" w:color="auto" w:fill="F5F5F5"/>
            <w:tcMar>
              <w:top w:w="50" w:type="dxa"/>
              <w:left w:w="80" w:type="dxa"/>
              <w:bottom w:w="50" w:type="dxa"/>
              <w:right w:w="80" w:type="dxa"/>
            </w:tcMar>
          </w:tcPr>
          <w:p w14:paraId="7A773DBE" w14:textId="77777777" w:rsidR="00AE0893" w:rsidRDefault="00000000">
            <w:pPr>
              <w:jc w:val="center"/>
            </w:pPr>
            <w:r>
              <w:rPr>
                <w:sz w:val="17"/>
                <w:szCs w:val="17"/>
              </w:rPr>
              <w:t>310</w:t>
            </w:r>
          </w:p>
        </w:tc>
        <w:tc>
          <w:tcPr>
            <w:tcW w:w="1360" w:type="dxa"/>
            <w:tcBorders>
              <w:top w:val="single" w:sz="1" w:space="0" w:color="CCCCCC"/>
              <w:left w:val="single" w:sz="1" w:space="0" w:color="CCCCCC"/>
              <w:bottom w:val="single" w:sz="1" w:space="0" w:color="CCCCCC"/>
              <w:right w:val="single" w:sz="1" w:space="0" w:color="CCCCCC"/>
            </w:tcBorders>
            <w:shd w:val="clear" w:color="auto" w:fill="F5F5F5"/>
            <w:tcMar>
              <w:top w:w="50" w:type="dxa"/>
              <w:left w:w="80" w:type="dxa"/>
              <w:bottom w:w="50" w:type="dxa"/>
              <w:right w:w="80" w:type="dxa"/>
            </w:tcMar>
          </w:tcPr>
          <w:p w14:paraId="4B889A48" w14:textId="77777777" w:rsidR="00AE0893" w:rsidRDefault="00000000">
            <w:pPr>
              <w:jc w:val="center"/>
            </w:pPr>
            <w:r>
              <w:rPr>
                <w:b/>
                <w:bCs/>
                <w:color w:val="1A6B5A"/>
                <w:sz w:val="17"/>
                <w:szCs w:val="17"/>
              </w:rPr>
              <w:t>Oui (2012)</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50" w:type="dxa"/>
              <w:left w:w="80" w:type="dxa"/>
              <w:bottom w:w="50" w:type="dxa"/>
              <w:right w:w="80" w:type="dxa"/>
            </w:tcMar>
          </w:tcPr>
          <w:p w14:paraId="5293AA86" w14:textId="77777777" w:rsidR="00AE0893" w:rsidRDefault="00000000">
            <w:r>
              <w:rPr>
                <w:i/>
                <w:iCs/>
                <w:color w:val="2E5F8A"/>
                <w:sz w:val="17"/>
                <w:szCs w:val="17"/>
              </w:rPr>
              <w:t>Intégrateur</w:t>
            </w:r>
          </w:p>
        </w:tc>
      </w:tr>
      <w:tr w:rsidR="00AE0893" w14:paraId="7D803666" w14:textId="77777777">
        <w:tblPrEx>
          <w:tblCellMar>
            <w:top w:w="0" w:type="dxa"/>
            <w:bottom w:w="0" w:type="dxa"/>
          </w:tblCellMar>
        </w:tblPrEx>
        <w:trPr>
          <w:gridAfter w:val="1"/>
          <w:wAfter w:w="359" w:type="dxa"/>
        </w:trPr>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80" w:type="dxa"/>
              <w:bottom w:w="50" w:type="dxa"/>
              <w:right w:w="80" w:type="dxa"/>
            </w:tcMar>
          </w:tcPr>
          <w:p w14:paraId="0D10EB22" w14:textId="77777777" w:rsidR="00AE0893" w:rsidRDefault="00000000">
            <w:pPr>
              <w:jc w:val="center"/>
            </w:pPr>
            <w:r>
              <w:rPr>
                <w:b/>
                <w:bCs/>
                <w:color w:val="1A2D4A"/>
                <w:sz w:val="17"/>
                <w:szCs w:val="17"/>
              </w:rPr>
              <w:t>ETI-E</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80" w:type="dxa"/>
              <w:bottom w:w="50" w:type="dxa"/>
              <w:right w:w="80" w:type="dxa"/>
            </w:tcMar>
          </w:tcPr>
          <w:p w14:paraId="5D193923" w14:textId="77777777" w:rsidR="00AE0893" w:rsidRDefault="00000000">
            <w:r>
              <w:rPr>
                <w:sz w:val="17"/>
                <w:szCs w:val="17"/>
              </w:rPr>
              <w:t>Équipement auto</w:t>
            </w:r>
          </w:p>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80" w:type="dxa"/>
              <w:bottom w:w="50" w:type="dxa"/>
              <w:right w:w="80" w:type="dxa"/>
            </w:tcMar>
          </w:tcPr>
          <w:p w14:paraId="2BB1DFFD" w14:textId="77777777" w:rsidR="00AE0893" w:rsidRDefault="00000000">
            <w:pPr>
              <w:jc w:val="center"/>
            </w:pPr>
            <w:r>
              <w:rPr>
                <w:sz w:val="17"/>
                <w:szCs w:val="17"/>
              </w:rPr>
              <w:t>3 400</w:t>
            </w:r>
          </w:p>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80" w:type="dxa"/>
              <w:bottom w:w="50" w:type="dxa"/>
              <w:right w:w="80" w:type="dxa"/>
            </w:tcMar>
          </w:tcPr>
          <w:p w14:paraId="61EAB271" w14:textId="77777777" w:rsidR="00AE0893" w:rsidRDefault="00000000">
            <w:pPr>
              <w:jc w:val="center"/>
            </w:pPr>
            <w:r>
              <w:rPr>
                <w:sz w:val="17"/>
                <w:szCs w:val="17"/>
              </w:rPr>
              <w:t>520</w:t>
            </w:r>
          </w:p>
        </w:tc>
        <w:tc>
          <w:tcPr>
            <w:tcW w:w="1360" w:type="dxa"/>
            <w:tcBorders>
              <w:top w:val="single" w:sz="1" w:space="0" w:color="CCCCCC"/>
              <w:left w:val="single" w:sz="1" w:space="0" w:color="CCCCCC"/>
              <w:bottom w:val="single" w:sz="1" w:space="0" w:color="CCCCCC"/>
              <w:right w:val="single" w:sz="1" w:space="0" w:color="CCCCCC"/>
            </w:tcBorders>
            <w:shd w:val="clear" w:color="auto" w:fill="FFFFFF"/>
            <w:tcMar>
              <w:top w:w="50" w:type="dxa"/>
              <w:left w:w="80" w:type="dxa"/>
              <w:bottom w:w="50" w:type="dxa"/>
              <w:right w:w="80" w:type="dxa"/>
            </w:tcMar>
          </w:tcPr>
          <w:p w14:paraId="03CC8879" w14:textId="77777777" w:rsidR="00AE0893" w:rsidRDefault="00000000">
            <w:pPr>
              <w:jc w:val="center"/>
            </w:pPr>
            <w:r>
              <w:rPr>
                <w:b/>
                <w:bCs/>
                <w:color w:val="8A6A1A"/>
                <w:sz w:val="17"/>
                <w:szCs w:val="17"/>
              </w:rPr>
              <w:t>En cours</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80" w:type="dxa"/>
              <w:bottom w:w="50" w:type="dxa"/>
              <w:right w:w="80" w:type="dxa"/>
            </w:tcMar>
          </w:tcPr>
          <w:p w14:paraId="589C4141" w14:textId="77777777" w:rsidR="00AE0893" w:rsidRDefault="00000000">
            <w:r>
              <w:rPr>
                <w:i/>
                <w:iCs/>
                <w:color w:val="2E5F8A"/>
                <w:sz w:val="17"/>
                <w:szCs w:val="17"/>
              </w:rPr>
              <w:t>Opportuniste</w:t>
            </w:r>
          </w:p>
        </w:tc>
      </w:tr>
      <w:tr w:rsidR="00AE0893" w14:paraId="118520B0" w14:textId="77777777">
        <w:tblPrEx>
          <w:tblCellMar>
            <w:top w:w="0" w:type="dxa"/>
            <w:bottom w:w="0" w:type="dxa"/>
          </w:tblCellMar>
        </w:tblPrEx>
        <w:trPr>
          <w:gridAfter w:val="1"/>
          <w:wAfter w:w="359" w:type="dxa"/>
        </w:trPr>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50" w:type="dxa"/>
              <w:left w:w="80" w:type="dxa"/>
              <w:bottom w:w="50" w:type="dxa"/>
              <w:right w:w="80" w:type="dxa"/>
            </w:tcMar>
          </w:tcPr>
          <w:p w14:paraId="3AB3D473" w14:textId="77777777" w:rsidR="00AE0893" w:rsidRDefault="00000000">
            <w:pPr>
              <w:jc w:val="center"/>
            </w:pPr>
            <w:r>
              <w:rPr>
                <w:b/>
                <w:bCs/>
                <w:color w:val="1A2D4A"/>
                <w:sz w:val="17"/>
                <w:szCs w:val="17"/>
              </w:rPr>
              <w:t>ETI-F</w:t>
            </w:r>
          </w:p>
        </w:tc>
        <w:tc>
          <w:tcPr>
            <w:tcW w:w="1800" w:type="dxa"/>
            <w:tcBorders>
              <w:top w:val="single" w:sz="1" w:space="0" w:color="CCCCCC"/>
              <w:left w:val="single" w:sz="1" w:space="0" w:color="CCCCCC"/>
              <w:bottom w:val="single" w:sz="1" w:space="0" w:color="CCCCCC"/>
              <w:right w:val="single" w:sz="1" w:space="0" w:color="CCCCCC"/>
            </w:tcBorders>
            <w:shd w:val="clear" w:color="auto" w:fill="F5F5F5"/>
            <w:tcMar>
              <w:top w:w="50" w:type="dxa"/>
              <w:left w:w="80" w:type="dxa"/>
              <w:bottom w:w="50" w:type="dxa"/>
              <w:right w:w="80" w:type="dxa"/>
            </w:tcMar>
          </w:tcPr>
          <w:p w14:paraId="1FEA211D" w14:textId="77777777" w:rsidR="00AE0893" w:rsidRDefault="00000000">
            <w:r>
              <w:rPr>
                <w:sz w:val="17"/>
                <w:szCs w:val="17"/>
              </w:rPr>
              <w:t>Chimie Seveso</w:t>
            </w:r>
          </w:p>
        </w:tc>
        <w:tc>
          <w:tcPr>
            <w:tcW w:w="1000" w:type="dxa"/>
            <w:tcBorders>
              <w:top w:val="single" w:sz="1" w:space="0" w:color="CCCCCC"/>
              <w:left w:val="single" w:sz="1" w:space="0" w:color="CCCCCC"/>
              <w:bottom w:val="single" w:sz="1" w:space="0" w:color="CCCCCC"/>
              <w:right w:val="single" w:sz="1" w:space="0" w:color="CCCCCC"/>
            </w:tcBorders>
            <w:shd w:val="clear" w:color="auto" w:fill="F5F5F5"/>
            <w:tcMar>
              <w:top w:w="50" w:type="dxa"/>
              <w:left w:w="80" w:type="dxa"/>
              <w:bottom w:w="50" w:type="dxa"/>
              <w:right w:w="80" w:type="dxa"/>
            </w:tcMar>
          </w:tcPr>
          <w:p w14:paraId="74050723" w14:textId="77777777" w:rsidR="00AE0893" w:rsidRDefault="00000000">
            <w:pPr>
              <w:jc w:val="center"/>
            </w:pPr>
            <w:r>
              <w:rPr>
                <w:sz w:val="17"/>
                <w:szCs w:val="17"/>
              </w:rPr>
              <w:t>420</w:t>
            </w:r>
          </w:p>
        </w:tc>
        <w:tc>
          <w:tcPr>
            <w:tcW w:w="1000" w:type="dxa"/>
            <w:tcBorders>
              <w:top w:val="single" w:sz="1" w:space="0" w:color="CCCCCC"/>
              <w:left w:val="single" w:sz="1" w:space="0" w:color="CCCCCC"/>
              <w:bottom w:val="single" w:sz="1" w:space="0" w:color="CCCCCC"/>
              <w:right w:val="single" w:sz="1" w:space="0" w:color="CCCCCC"/>
            </w:tcBorders>
            <w:shd w:val="clear" w:color="auto" w:fill="F5F5F5"/>
            <w:tcMar>
              <w:top w:w="50" w:type="dxa"/>
              <w:left w:w="80" w:type="dxa"/>
              <w:bottom w:w="50" w:type="dxa"/>
              <w:right w:w="80" w:type="dxa"/>
            </w:tcMar>
          </w:tcPr>
          <w:p w14:paraId="7FEFACFE" w14:textId="77777777" w:rsidR="00AE0893" w:rsidRDefault="00000000">
            <w:pPr>
              <w:jc w:val="center"/>
            </w:pPr>
            <w:r>
              <w:rPr>
                <w:sz w:val="17"/>
                <w:szCs w:val="17"/>
              </w:rPr>
              <w:t>88</w:t>
            </w:r>
          </w:p>
        </w:tc>
        <w:tc>
          <w:tcPr>
            <w:tcW w:w="1360" w:type="dxa"/>
            <w:tcBorders>
              <w:top w:val="single" w:sz="1" w:space="0" w:color="CCCCCC"/>
              <w:left w:val="single" w:sz="1" w:space="0" w:color="CCCCCC"/>
              <w:bottom w:val="single" w:sz="1" w:space="0" w:color="CCCCCC"/>
              <w:right w:val="single" w:sz="1" w:space="0" w:color="CCCCCC"/>
            </w:tcBorders>
            <w:shd w:val="clear" w:color="auto" w:fill="F5F5F5"/>
            <w:tcMar>
              <w:top w:w="50" w:type="dxa"/>
              <w:left w:w="80" w:type="dxa"/>
              <w:bottom w:w="50" w:type="dxa"/>
              <w:right w:w="80" w:type="dxa"/>
            </w:tcMar>
          </w:tcPr>
          <w:p w14:paraId="28CC800A" w14:textId="77777777" w:rsidR="00AE0893" w:rsidRDefault="00000000">
            <w:pPr>
              <w:jc w:val="center"/>
            </w:pPr>
            <w:r>
              <w:rPr>
                <w:b/>
                <w:bCs/>
                <w:color w:val="1A6B5A"/>
                <w:sz w:val="17"/>
                <w:szCs w:val="17"/>
              </w:rPr>
              <w:t>Oui (2018)</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50" w:type="dxa"/>
              <w:left w:w="80" w:type="dxa"/>
              <w:bottom w:w="50" w:type="dxa"/>
              <w:right w:w="80" w:type="dxa"/>
            </w:tcMar>
          </w:tcPr>
          <w:p w14:paraId="4858CB89" w14:textId="77777777" w:rsidR="00AE0893" w:rsidRDefault="00000000">
            <w:r>
              <w:rPr>
                <w:i/>
                <w:iCs/>
                <w:color w:val="2E5F8A"/>
                <w:sz w:val="17"/>
                <w:szCs w:val="17"/>
              </w:rPr>
              <w:t>Intégrateur</w:t>
            </w:r>
          </w:p>
        </w:tc>
      </w:tr>
      <w:tr w:rsidR="00AE0893" w14:paraId="73FBAB1F" w14:textId="77777777">
        <w:tblPrEx>
          <w:tblCellMar>
            <w:top w:w="0" w:type="dxa"/>
            <w:bottom w:w="0" w:type="dxa"/>
          </w:tblCellMar>
        </w:tblPrEx>
        <w:trPr>
          <w:gridAfter w:val="1"/>
          <w:wAfter w:w="359" w:type="dxa"/>
        </w:trPr>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80" w:type="dxa"/>
              <w:bottom w:w="50" w:type="dxa"/>
              <w:right w:w="80" w:type="dxa"/>
            </w:tcMar>
          </w:tcPr>
          <w:p w14:paraId="3B43B237" w14:textId="77777777" w:rsidR="00AE0893" w:rsidRDefault="00000000">
            <w:pPr>
              <w:jc w:val="center"/>
            </w:pPr>
            <w:r>
              <w:rPr>
                <w:b/>
                <w:bCs/>
                <w:color w:val="1A2D4A"/>
                <w:sz w:val="17"/>
                <w:szCs w:val="17"/>
              </w:rPr>
              <w:t>ETI-G</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80" w:type="dxa"/>
              <w:bottom w:w="50" w:type="dxa"/>
              <w:right w:w="80" w:type="dxa"/>
            </w:tcMar>
          </w:tcPr>
          <w:p w14:paraId="2F18BD40" w14:textId="77777777" w:rsidR="00AE0893" w:rsidRDefault="00000000">
            <w:r>
              <w:rPr>
                <w:sz w:val="17"/>
                <w:szCs w:val="17"/>
              </w:rPr>
              <w:t>Agroalimentaire</w:t>
            </w:r>
          </w:p>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80" w:type="dxa"/>
              <w:bottom w:w="50" w:type="dxa"/>
              <w:right w:w="80" w:type="dxa"/>
            </w:tcMar>
          </w:tcPr>
          <w:p w14:paraId="63210ED9" w14:textId="77777777" w:rsidR="00AE0893" w:rsidRDefault="00000000">
            <w:pPr>
              <w:jc w:val="center"/>
            </w:pPr>
            <w:r>
              <w:rPr>
                <w:sz w:val="17"/>
                <w:szCs w:val="17"/>
              </w:rPr>
              <w:t>900</w:t>
            </w:r>
          </w:p>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80" w:type="dxa"/>
              <w:bottom w:w="50" w:type="dxa"/>
              <w:right w:w="80" w:type="dxa"/>
            </w:tcMar>
          </w:tcPr>
          <w:p w14:paraId="0643896E" w14:textId="77777777" w:rsidR="00AE0893" w:rsidRDefault="00000000">
            <w:pPr>
              <w:jc w:val="center"/>
            </w:pPr>
            <w:r>
              <w:rPr>
                <w:sz w:val="17"/>
                <w:szCs w:val="17"/>
              </w:rPr>
              <w:t>175</w:t>
            </w:r>
          </w:p>
        </w:tc>
        <w:tc>
          <w:tcPr>
            <w:tcW w:w="1360" w:type="dxa"/>
            <w:tcBorders>
              <w:top w:val="single" w:sz="1" w:space="0" w:color="CCCCCC"/>
              <w:left w:val="single" w:sz="1" w:space="0" w:color="CCCCCC"/>
              <w:bottom w:val="single" w:sz="1" w:space="0" w:color="CCCCCC"/>
              <w:right w:val="single" w:sz="1" w:space="0" w:color="CCCCCC"/>
            </w:tcBorders>
            <w:shd w:val="clear" w:color="auto" w:fill="FFFFFF"/>
            <w:tcMar>
              <w:top w:w="50" w:type="dxa"/>
              <w:left w:w="80" w:type="dxa"/>
              <w:bottom w:w="50" w:type="dxa"/>
              <w:right w:w="80" w:type="dxa"/>
            </w:tcMar>
          </w:tcPr>
          <w:p w14:paraId="67FBF855" w14:textId="77777777" w:rsidR="00AE0893" w:rsidRDefault="00000000">
            <w:pPr>
              <w:jc w:val="center"/>
            </w:pPr>
            <w:r>
              <w:rPr>
                <w:b/>
                <w:bCs/>
                <w:color w:val="8B1A1A"/>
                <w:sz w:val="17"/>
                <w:szCs w:val="17"/>
              </w:rPr>
              <w:t>Non</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80" w:type="dxa"/>
              <w:bottom w:w="50" w:type="dxa"/>
              <w:right w:w="80" w:type="dxa"/>
            </w:tcMar>
          </w:tcPr>
          <w:p w14:paraId="4872B7A2" w14:textId="77777777" w:rsidR="00AE0893" w:rsidRDefault="00000000">
            <w:r>
              <w:rPr>
                <w:i/>
                <w:iCs/>
                <w:color w:val="2E5F8A"/>
                <w:sz w:val="17"/>
                <w:szCs w:val="17"/>
              </w:rPr>
              <w:t>Résistant</w:t>
            </w:r>
          </w:p>
        </w:tc>
      </w:tr>
      <w:tr w:rsidR="00AE0893" w14:paraId="592DB484" w14:textId="77777777">
        <w:tblPrEx>
          <w:tblCellMar>
            <w:top w:w="0" w:type="dxa"/>
            <w:bottom w:w="0" w:type="dxa"/>
          </w:tblCellMar>
        </w:tblPrEx>
        <w:trPr>
          <w:gridAfter w:val="1"/>
          <w:wAfter w:w="359" w:type="dxa"/>
        </w:trPr>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50" w:type="dxa"/>
              <w:left w:w="80" w:type="dxa"/>
              <w:bottom w:w="50" w:type="dxa"/>
              <w:right w:w="80" w:type="dxa"/>
            </w:tcMar>
          </w:tcPr>
          <w:p w14:paraId="18E0CC56" w14:textId="77777777" w:rsidR="00AE0893" w:rsidRDefault="00000000">
            <w:pPr>
              <w:jc w:val="center"/>
            </w:pPr>
            <w:r>
              <w:rPr>
                <w:b/>
                <w:bCs/>
                <w:color w:val="1A2D4A"/>
                <w:sz w:val="17"/>
                <w:szCs w:val="17"/>
              </w:rPr>
              <w:lastRenderedPageBreak/>
              <w:t>ETI-H</w:t>
            </w:r>
          </w:p>
        </w:tc>
        <w:tc>
          <w:tcPr>
            <w:tcW w:w="1800" w:type="dxa"/>
            <w:tcBorders>
              <w:top w:val="single" w:sz="1" w:space="0" w:color="CCCCCC"/>
              <w:left w:val="single" w:sz="1" w:space="0" w:color="CCCCCC"/>
              <w:bottom w:val="single" w:sz="1" w:space="0" w:color="CCCCCC"/>
              <w:right w:val="single" w:sz="1" w:space="0" w:color="CCCCCC"/>
            </w:tcBorders>
            <w:shd w:val="clear" w:color="auto" w:fill="F5F5F5"/>
            <w:tcMar>
              <w:top w:w="50" w:type="dxa"/>
              <w:left w:w="80" w:type="dxa"/>
              <w:bottom w:w="50" w:type="dxa"/>
              <w:right w:w="80" w:type="dxa"/>
            </w:tcMar>
          </w:tcPr>
          <w:p w14:paraId="030BAD54" w14:textId="798E9B4C" w:rsidR="00AE0893" w:rsidRDefault="00D23940">
            <w:r>
              <w:rPr>
                <w:sz w:val="17"/>
                <w:szCs w:val="17"/>
              </w:rPr>
              <w:t>Déchets/récupération</w:t>
            </w:r>
          </w:p>
        </w:tc>
        <w:tc>
          <w:tcPr>
            <w:tcW w:w="1000" w:type="dxa"/>
            <w:tcBorders>
              <w:top w:val="single" w:sz="1" w:space="0" w:color="CCCCCC"/>
              <w:left w:val="single" w:sz="1" w:space="0" w:color="CCCCCC"/>
              <w:bottom w:val="single" w:sz="1" w:space="0" w:color="CCCCCC"/>
              <w:right w:val="single" w:sz="1" w:space="0" w:color="CCCCCC"/>
            </w:tcBorders>
            <w:shd w:val="clear" w:color="auto" w:fill="F5F5F5"/>
            <w:tcMar>
              <w:top w:w="50" w:type="dxa"/>
              <w:left w:w="80" w:type="dxa"/>
              <w:bottom w:w="50" w:type="dxa"/>
              <w:right w:w="80" w:type="dxa"/>
            </w:tcMar>
          </w:tcPr>
          <w:p w14:paraId="720517D3" w14:textId="77777777" w:rsidR="00AE0893" w:rsidRDefault="00000000">
            <w:pPr>
              <w:jc w:val="center"/>
            </w:pPr>
            <w:r>
              <w:rPr>
                <w:sz w:val="17"/>
                <w:szCs w:val="17"/>
              </w:rPr>
              <w:t>1 800</w:t>
            </w:r>
          </w:p>
        </w:tc>
        <w:tc>
          <w:tcPr>
            <w:tcW w:w="1000" w:type="dxa"/>
            <w:tcBorders>
              <w:top w:val="single" w:sz="1" w:space="0" w:color="CCCCCC"/>
              <w:left w:val="single" w:sz="1" w:space="0" w:color="CCCCCC"/>
              <w:bottom w:val="single" w:sz="1" w:space="0" w:color="CCCCCC"/>
              <w:right w:val="single" w:sz="1" w:space="0" w:color="CCCCCC"/>
            </w:tcBorders>
            <w:shd w:val="clear" w:color="auto" w:fill="F5F5F5"/>
            <w:tcMar>
              <w:top w:w="50" w:type="dxa"/>
              <w:left w:w="80" w:type="dxa"/>
              <w:bottom w:w="50" w:type="dxa"/>
              <w:right w:w="80" w:type="dxa"/>
            </w:tcMar>
          </w:tcPr>
          <w:p w14:paraId="486FEF38" w14:textId="77777777" w:rsidR="00AE0893" w:rsidRDefault="00000000">
            <w:pPr>
              <w:jc w:val="center"/>
            </w:pPr>
            <w:r>
              <w:rPr>
                <w:sz w:val="17"/>
                <w:szCs w:val="17"/>
              </w:rPr>
              <w:t>230</w:t>
            </w:r>
          </w:p>
        </w:tc>
        <w:tc>
          <w:tcPr>
            <w:tcW w:w="1360" w:type="dxa"/>
            <w:tcBorders>
              <w:top w:val="single" w:sz="1" w:space="0" w:color="CCCCCC"/>
              <w:left w:val="single" w:sz="1" w:space="0" w:color="CCCCCC"/>
              <w:bottom w:val="single" w:sz="1" w:space="0" w:color="CCCCCC"/>
              <w:right w:val="single" w:sz="1" w:space="0" w:color="CCCCCC"/>
            </w:tcBorders>
            <w:shd w:val="clear" w:color="auto" w:fill="F5F5F5"/>
            <w:tcMar>
              <w:top w:w="50" w:type="dxa"/>
              <w:left w:w="80" w:type="dxa"/>
              <w:bottom w:w="50" w:type="dxa"/>
              <w:right w:w="80" w:type="dxa"/>
            </w:tcMar>
          </w:tcPr>
          <w:p w14:paraId="0939019A" w14:textId="77777777" w:rsidR="00AE0893" w:rsidRDefault="00000000">
            <w:pPr>
              <w:jc w:val="center"/>
            </w:pPr>
            <w:r>
              <w:rPr>
                <w:b/>
                <w:bCs/>
                <w:color w:val="1A6B5A"/>
                <w:sz w:val="17"/>
                <w:szCs w:val="17"/>
              </w:rPr>
              <w:t>Oui (2020)</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50" w:type="dxa"/>
              <w:left w:w="80" w:type="dxa"/>
              <w:bottom w:w="50" w:type="dxa"/>
              <w:right w:w="80" w:type="dxa"/>
            </w:tcMar>
          </w:tcPr>
          <w:p w14:paraId="6AFF24A5" w14:textId="77777777" w:rsidR="00AE0893" w:rsidRDefault="00000000">
            <w:r>
              <w:rPr>
                <w:i/>
                <w:iCs/>
                <w:color w:val="2E5F8A"/>
                <w:sz w:val="17"/>
                <w:szCs w:val="17"/>
              </w:rPr>
              <w:t>Opportuniste</w:t>
            </w:r>
          </w:p>
        </w:tc>
      </w:tr>
      <w:tr w:rsidR="00AE0893" w14:paraId="00F33DE6" w14:textId="77777777">
        <w:tblPrEx>
          <w:tblCellMar>
            <w:top w:w="0" w:type="dxa"/>
            <w:bottom w:w="0" w:type="dxa"/>
          </w:tblCellMar>
        </w:tblPrEx>
        <w:trPr>
          <w:gridAfter w:val="1"/>
          <w:wAfter w:w="359" w:type="dxa"/>
        </w:trPr>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80" w:type="dxa"/>
              <w:bottom w:w="50" w:type="dxa"/>
              <w:right w:w="80" w:type="dxa"/>
            </w:tcMar>
          </w:tcPr>
          <w:p w14:paraId="49731F6B" w14:textId="77777777" w:rsidR="00AE0893" w:rsidRDefault="00000000">
            <w:pPr>
              <w:jc w:val="center"/>
            </w:pPr>
            <w:r>
              <w:rPr>
                <w:b/>
                <w:bCs/>
                <w:color w:val="1A2D4A"/>
                <w:sz w:val="17"/>
                <w:szCs w:val="17"/>
              </w:rPr>
              <w:t>ETI-I</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80" w:type="dxa"/>
              <w:bottom w:w="50" w:type="dxa"/>
              <w:right w:w="80" w:type="dxa"/>
            </w:tcMar>
          </w:tcPr>
          <w:p w14:paraId="60892230" w14:textId="6F90EDC6" w:rsidR="00AE0893" w:rsidRDefault="00000000">
            <w:r>
              <w:rPr>
                <w:sz w:val="17"/>
                <w:szCs w:val="17"/>
              </w:rPr>
              <w:t>BTP matériaux</w:t>
            </w:r>
          </w:p>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80" w:type="dxa"/>
              <w:bottom w:w="50" w:type="dxa"/>
              <w:right w:w="80" w:type="dxa"/>
            </w:tcMar>
          </w:tcPr>
          <w:p w14:paraId="07F16EDF" w14:textId="77777777" w:rsidR="00AE0893" w:rsidRDefault="00000000">
            <w:pPr>
              <w:jc w:val="center"/>
            </w:pPr>
            <w:r>
              <w:rPr>
                <w:sz w:val="17"/>
                <w:szCs w:val="17"/>
              </w:rPr>
              <w:t>750</w:t>
            </w:r>
          </w:p>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80" w:type="dxa"/>
              <w:bottom w:w="50" w:type="dxa"/>
              <w:right w:w="80" w:type="dxa"/>
            </w:tcMar>
          </w:tcPr>
          <w:p w14:paraId="543715E9" w14:textId="77777777" w:rsidR="00AE0893" w:rsidRDefault="00000000">
            <w:pPr>
              <w:jc w:val="center"/>
            </w:pPr>
            <w:r>
              <w:rPr>
                <w:sz w:val="17"/>
                <w:szCs w:val="17"/>
              </w:rPr>
              <w:t>110</w:t>
            </w:r>
          </w:p>
        </w:tc>
        <w:tc>
          <w:tcPr>
            <w:tcW w:w="1360" w:type="dxa"/>
            <w:tcBorders>
              <w:top w:val="single" w:sz="1" w:space="0" w:color="CCCCCC"/>
              <w:left w:val="single" w:sz="1" w:space="0" w:color="CCCCCC"/>
              <w:bottom w:val="single" w:sz="1" w:space="0" w:color="CCCCCC"/>
              <w:right w:val="single" w:sz="1" w:space="0" w:color="CCCCCC"/>
            </w:tcBorders>
            <w:shd w:val="clear" w:color="auto" w:fill="FFFFFF"/>
            <w:tcMar>
              <w:top w:w="50" w:type="dxa"/>
              <w:left w:w="80" w:type="dxa"/>
              <w:bottom w:w="50" w:type="dxa"/>
              <w:right w:w="80" w:type="dxa"/>
            </w:tcMar>
          </w:tcPr>
          <w:p w14:paraId="60506EA0" w14:textId="77777777" w:rsidR="00AE0893" w:rsidRDefault="00000000">
            <w:pPr>
              <w:jc w:val="center"/>
            </w:pPr>
            <w:r>
              <w:rPr>
                <w:b/>
                <w:bCs/>
                <w:color w:val="8B1A1A"/>
                <w:sz w:val="17"/>
                <w:szCs w:val="17"/>
              </w:rPr>
              <w:t>Non</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80" w:type="dxa"/>
              <w:bottom w:w="50" w:type="dxa"/>
              <w:right w:w="80" w:type="dxa"/>
            </w:tcMar>
          </w:tcPr>
          <w:p w14:paraId="08B0C7F2" w14:textId="77777777" w:rsidR="00AE0893" w:rsidRDefault="00000000">
            <w:r>
              <w:rPr>
                <w:i/>
                <w:iCs/>
                <w:color w:val="2E5F8A"/>
                <w:sz w:val="17"/>
                <w:szCs w:val="17"/>
              </w:rPr>
              <w:t>Conformiste</w:t>
            </w:r>
          </w:p>
        </w:tc>
      </w:tr>
      <w:tr w:rsidR="00AE0893" w14:paraId="557FEF43" w14:textId="77777777">
        <w:tblPrEx>
          <w:tblCellMar>
            <w:top w:w="0" w:type="dxa"/>
            <w:bottom w:w="0" w:type="dxa"/>
          </w:tblCellMar>
        </w:tblPrEx>
        <w:trPr>
          <w:gridAfter w:val="1"/>
          <w:wAfter w:w="359" w:type="dxa"/>
        </w:trPr>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50" w:type="dxa"/>
              <w:left w:w="80" w:type="dxa"/>
              <w:bottom w:w="50" w:type="dxa"/>
              <w:right w:w="80" w:type="dxa"/>
            </w:tcMar>
          </w:tcPr>
          <w:p w14:paraId="0E9A4FC3" w14:textId="77777777" w:rsidR="00AE0893" w:rsidRDefault="00000000">
            <w:pPr>
              <w:jc w:val="center"/>
            </w:pPr>
            <w:r>
              <w:rPr>
                <w:b/>
                <w:bCs/>
                <w:color w:val="1A2D4A"/>
                <w:sz w:val="17"/>
                <w:szCs w:val="17"/>
              </w:rPr>
              <w:t>ETI-J</w:t>
            </w:r>
          </w:p>
        </w:tc>
        <w:tc>
          <w:tcPr>
            <w:tcW w:w="1800" w:type="dxa"/>
            <w:tcBorders>
              <w:top w:val="single" w:sz="1" w:space="0" w:color="CCCCCC"/>
              <w:left w:val="single" w:sz="1" w:space="0" w:color="CCCCCC"/>
              <w:bottom w:val="single" w:sz="1" w:space="0" w:color="CCCCCC"/>
              <w:right w:val="single" w:sz="1" w:space="0" w:color="CCCCCC"/>
            </w:tcBorders>
            <w:shd w:val="clear" w:color="auto" w:fill="F5F5F5"/>
            <w:tcMar>
              <w:top w:w="50" w:type="dxa"/>
              <w:left w:w="80" w:type="dxa"/>
              <w:bottom w:w="50" w:type="dxa"/>
              <w:right w:w="80" w:type="dxa"/>
            </w:tcMar>
          </w:tcPr>
          <w:p w14:paraId="50F2AFF3" w14:textId="373CD95D" w:rsidR="00AE0893" w:rsidRDefault="00D23940">
            <w:r>
              <w:rPr>
                <w:sz w:val="17"/>
                <w:szCs w:val="17"/>
              </w:rPr>
              <w:t>Métallurgie</w:t>
            </w:r>
          </w:p>
        </w:tc>
        <w:tc>
          <w:tcPr>
            <w:tcW w:w="1000" w:type="dxa"/>
            <w:tcBorders>
              <w:top w:val="single" w:sz="1" w:space="0" w:color="CCCCCC"/>
              <w:left w:val="single" w:sz="1" w:space="0" w:color="CCCCCC"/>
              <w:bottom w:val="single" w:sz="1" w:space="0" w:color="CCCCCC"/>
              <w:right w:val="single" w:sz="1" w:space="0" w:color="CCCCCC"/>
            </w:tcBorders>
            <w:shd w:val="clear" w:color="auto" w:fill="F5F5F5"/>
            <w:tcMar>
              <w:top w:w="50" w:type="dxa"/>
              <w:left w:w="80" w:type="dxa"/>
              <w:bottom w:w="50" w:type="dxa"/>
              <w:right w:w="80" w:type="dxa"/>
            </w:tcMar>
          </w:tcPr>
          <w:p w14:paraId="0954E6E4" w14:textId="77777777" w:rsidR="00AE0893" w:rsidRDefault="00000000">
            <w:pPr>
              <w:jc w:val="center"/>
            </w:pPr>
            <w:r>
              <w:rPr>
                <w:sz w:val="17"/>
                <w:szCs w:val="17"/>
              </w:rPr>
              <w:t>1 400</w:t>
            </w:r>
          </w:p>
        </w:tc>
        <w:tc>
          <w:tcPr>
            <w:tcW w:w="1000" w:type="dxa"/>
            <w:tcBorders>
              <w:top w:val="single" w:sz="1" w:space="0" w:color="CCCCCC"/>
              <w:left w:val="single" w:sz="1" w:space="0" w:color="CCCCCC"/>
              <w:bottom w:val="single" w:sz="1" w:space="0" w:color="CCCCCC"/>
              <w:right w:val="single" w:sz="1" w:space="0" w:color="CCCCCC"/>
            </w:tcBorders>
            <w:shd w:val="clear" w:color="auto" w:fill="F5F5F5"/>
            <w:tcMar>
              <w:top w:w="50" w:type="dxa"/>
              <w:left w:w="80" w:type="dxa"/>
              <w:bottom w:w="50" w:type="dxa"/>
              <w:right w:w="80" w:type="dxa"/>
            </w:tcMar>
          </w:tcPr>
          <w:p w14:paraId="192A8050" w14:textId="77777777" w:rsidR="00AE0893" w:rsidRDefault="00000000">
            <w:pPr>
              <w:jc w:val="center"/>
            </w:pPr>
            <w:r>
              <w:rPr>
                <w:sz w:val="17"/>
                <w:szCs w:val="17"/>
              </w:rPr>
              <w:t>195</w:t>
            </w:r>
          </w:p>
        </w:tc>
        <w:tc>
          <w:tcPr>
            <w:tcW w:w="1360" w:type="dxa"/>
            <w:tcBorders>
              <w:top w:val="single" w:sz="1" w:space="0" w:color="CCCCCC"/>
              <w:left w:val="single" w:sz="1" w:space="0" w:color="CCCCCC"/>
              <w:bottom w:val="single" w:sz="1" w:space="0" w:color="CCCCCC"/>
              <w:right w:val="single" w:sz="1" w:space="0" w:color="CCCCCC"/>
            </w:tcBorders>
            <w:shd w:val="clear" w:color="auto" w:fill="F5F5F5"/>
            <w:tcMar>
              <w:top w:w="50" w:type="dxa"/>
              <w:left w:w="80" w:type="dxa"/>
              <w:bottom w:w="50" w:type="dxa"/>
              <w:right w:w="80" w:type="dxa"/>
            </w:tcMar>
          </w:tcPr>
          <w:p w14:paraId="0E893B7B" w14:textId="77777777" w:rsidR="00AE0893" w:rsidRDefault="00000000">
            <w:pPr>
              <w:jc w:val="center"/>
            </w:pPr>
            <w:r>
              <w:rPr>
                <w:b/>
                <w:bCs/>
                <w:color w:val="8A6A1A"/>
                <w:sz w:val="17"/>
                <w:szCs w:val="17"/>
              </w:rPr>
              <w:t>En cours</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50" w:type="dxa"/>
              <w:left w:w="80" w:type="dxa"/>
              <w:bottom w:w="50" w:type="dxa"/>
              <w:right w:w="80" w:type="dxa"/>
            </w:tcMar>
          </w:tcPr>
          <w:p w14:paraId="41BB9CEC" w14:textId="77777777" w:rsidR="00AE0893" w:rsidRDefault="00000000">
            <w:r>
              <w:rPr>
                <w:i/>
                <w:iCs/>
                <w:color w:val="2E5F8A"/>
                <w:sz w:val="17"/>
                <w:szCs w:val="17"/>
              </w:rPr>
              <w:t>Conformiste</w:t>
            </w:r>
          </w:p>
        </w:tc>
      </w:tr>
      <w:tr w:rsidR="00AE0893" w14:paraId="66BB5535" w14:textId="77777777">
        <w:tblPrEx>
          <w:tblCellMar>
            <w:top w:w="0" w:type="dxa"/>
            <w:bottom w:w="0" w:type="dxa"/>
          </w:tblCellMar>
        </w:tblPrEx>
        <w:trPr>
          <w:gridAfter w:val="1"/>
          <w:wAfter w:w="359" w:type="dxa"/>
        </w:trPr>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80" w:type="dxa"/>
              <w:bottom w:w="50" w:type="dxa"/>
              <w:right w:w="80" w:type="dxa"/>
            </w:tcMar>
          </w:tcPr>
          <w:p w14:paraId="280ABBE7" w14:textId="77777777" w:rsidR="00AE0893" w:rsidRDefault="00000000">
            <w:pPr>
              <w:jc w:val="center"/>
            </w:pPr>
            <w:r>
              <w:rPr>
                <w:b/>
                <w:bCs/>
                <w:color w:val="1A2D4A"/>
                <w:sz w:val="17"/>
                <w:szCs w:val="17"/>
              </w:rPr>
              <w:t>ETI-K</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80" w:type="dxa"/>
              <w:bottom w:w="50" w:type="dxa"/>
              <w:right w:w="80" w:type="dxa"/>
            </w:tcMar>
          </w:tcPr>
          <w:p w14:paraId="3ED7493C" w14:textId="77777777" w:rsidR="00AE0893" w:rsidRDefault="00000000">
            <w:r>
              <w:rPr>
                <w:sz w:val="17"/>
                <w:szCs w:val="17"/>
              </w:rPr>
              <w:t>Équipement auto</w:t>
            </w:r>
          </w:p>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80" w:type="dxa"/>
              <w:bottom w:w="50" w:type="dxa"/>
              <w:right w:w="80" w:type="dxa"/>
            </w:tcMar>
          </w:tcPr>
          <w:p w14:paraId="6421651A" w14:textId="77777777" w:rsidR="00AE0893" w:rsidRDefault="00000000">
            <w:pPr>
              <w:jc w:val="center"/>
            </w:pPr>
            <w:r>
              <w:rPr>
                <w:sz w:val="17"/>
                <w:szCs w:val="17"/>
              </w:rPr>
              <w:t>2 800</w:t>
            </w:r>
          </w:p>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80" w:type="dxa"/>
              <w:bottom w:w="50" w:type="dxa"/>
              <w:right w:w="80" w:type="dxa"/>
            </w:tcMar>
          </w:tcPr>
          <w:p w14:paraId="70307C45" w14:textId="77777777" w:rsidR="00AE0893" w:rsidRDefault="00000000">
            <w:pPr>
              <w:jc w:val="center"/>
            </w:pPr>
            <w:r>
              <w:rPr>
                <w:sz w:val="17"/>
                <w:szCs w:val="17"/>
              </w:rPr>
              <w:t>480</w:t>
            </w:r>
          </w:p>
        </w:tc>
        <w:tc>
          <w:tcPr>
            <w:tcW w:w="1360" w:type="dxa"/>
            <w:tcBorders>
              <w:top w:val="single" w:sz="1" w:space="0" w:color="CCCCCC"/>
              <w:left w:val="single" w:sz="1" w:space="0" w:color="CCCCCC"/>
              <w:bottom w:val="single" w:sz="1" w:space="0" w:color="CCCCCC"/>
              <w:right w:val="single" w:sz="1" w:space="0" w:color="CCCCCC"/>
            </w:tcBorders>
            <w:shd w:val="clear" w:color="auto" w:fill="FFFFFF"/>
            <w:tcMar>
              <w:top w:w="50" w:type="dxa"/>
              <w:left w:w="80" w:type="dxa"/>
              <w:bottom w:w="50" w:type="dxa"/>
              <w:right w:w="80" w:type="dxa"/>
            </w:tcMar>
          </w:tcPr>
          <w:p w14:paraId="0F1C5D81" w14:textId="77777777" w:rsidR="00AE0893" w:rsidRDefault="00000000">
            <w:pPr>
              <w:jc w:val="center"/>
            </w:pPr>
            <w:r>
              <w:rPr>
                <w:b/>
                <w:bCs/>
                <w:color w:val="1A6B5A"/>
                <w:sz w:val="17"/>
                <w:szCs w:val="17"/>
              </w:rPr>
              <w:t>Oui (2015)</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80" w:type="dxa"/>
              <w:bottom w:w="50" w:type="dxa"/>
              <w:right w:w="80" w:type="dxa"/>
            </w:tcMar>
          </w:tcPr>
          <w:p w14:paraId="4E3BC9D8" w14:textId="77777777" w:rsidR="00AE0893" w:rsidRDefault="00000000">
            <w:r>
              <w:rPr>
                <w:i/>
                <w:iCs/>
                <w:color w:val="2E5F8A"/>
                <w:sz w:val="17"/>
                <w:szCs w:val="17"/>
              </w:rPr>
              <w:t>Intégrateur</w:t>
            </w:r>
          </w:p>
        </w:tc>
      </w:tr>
      <w:tr w:rsidR="00AE0893" w14:paraId="57D2CA99" w14:textId="77777777">
        <w:tblPrEx>
          <w:tblCellMar>
            <w:top w:w="0" w:type="dxa"/>
            <w:bottom w:w="0" w:type="dxa"/>
          </w:tblCellMar>
        </w:tblPrEx>
        <w:trPr>
          <w:gridAfter w:val="1"/>
          <w:wAfter w:w="359" w:type="dxa"/>
        </w:trPr>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50" w:type="dxa"/>
              <w:left w:w="80" w:type="dxa"/>
              <w:bottom w:w="50" w:type="dxa"/>
              <w:right w:w="80" w:type="dxa"/>
            </w:tcMar>
          </w:tcPr>
          <w:p w14:paraId="3BC0C81E" w14:textId="77777777" w:rsidR="00AE0893" w:rsidRDefault="00000000">
            <w:pPr>
              <w:jc w:val="center"/>
            </w:pPr>
            <w:r>
              <w:rPr>
                <w:b/>
                <w:bCs/>
                <w:color w:val="1A2D4A"/>
                <w:sz w:val="17"/>
                <w:szCs w:val="17"/>
              </w:rPr>
              <w:t>ETI-L</w:t>
            </w:r>
          </w:p>
        </w:tc>
        <w:tc>
          <w:tcPr>
            <w:tcW w:w="1800" w:type="dxa"/>
            <w:tcBorders>
              <w:top w:val="single" w:sz="1" w:space="0" w:color="CCCCCC"/>
              <w:left w:val="single" w:sz="1" w:space="0" w:color="CCCCCC"/>
              <w:bottom w:val="single" w:sz="1" w:space="0" w:color="CCCCCC"/>
              <w:right w:val="single" w:sz="1" w:space="0" w:color="CCCCCC"/>
            </w:tcBorders>
            <w:shd w:val="clear" w:color="auto" w:fill="F5F5F5"/>
            <w:tcMar>
              <w:top w:w="50" w:type="dxa"/>
              <w:left w:w="80" w:type="dxa"/>
              <w:bottom w:w="50" w:type="dxa"/>
              <w:right w:w="80" w:type="dxa"/>
            </w:tcMar>
          </w:tcPr>
          <w:p w14:paraId="6DC9F605" w14:textId="77777777" w:rsidR="00AE0893" w:rsidRDefault="00000000">
            <w:r>
              <w:rPr>
                <w:sz w:val="17"/>
                <w:szCs w:val="17"/>
              </w:rPr>
              <w:t>Chimie fine</w:t>
            </w:r>
          </w:p>
        </w:tc>
        <w:tc>
          <w:tcPr>
            <w:tcW w:w="1000" w:type="dxa"/>
            <w:tcBorders>
              <w:top w:val="single" w:sz="1" w:space="0" w:color="CCCCCC"/>
              <w:left w:val="single" w:sz="1" w:space="0" w:color="CCCCCC"/>
              <w:bottom w:val="single" w:sz="1" w:space="0" w:color="CCCCCC"/>
              <w:right w:val="single" w:sz="1" w:space="0" w:color="CCCCCC"/>
            </w:tcBorders>
            <w:shd w:val="clear" w:color="auto" w:fill="F5F5F5"/>
            <w:tcMar>
              <w:top w:w="50" w:type="dxa"/>
              <w:left w:w="80" w:type="dxa"/>
              <w:bottom w:w="50" w:type="dxa"/>
              <w:right w:w="80" w:type="dxa"/>
            </w:tcMar>
          </w:tcPr>
          <w:p w14:paraId="77F016D3" w14:textId="77777777" w:rsidR="00AE0893" w:rsidRDefault="00000000">
            <w:pPr>
              <w:jc w:val="center"/>
            </w:pPr>
            <w:r>
              <w:rPr>
                <w:sz w:val="17"/>
                <w:szCs w:val="17"/>
              </w:rPr>
              <w:t>580</w:t>
            </w:r>
          </w:p>
        </w:tc>
        <w:tc>
          <w:tcPr>
            <w:tcW w:w="1000" w:type="dxa"/>
            <w:tcBorders>
              <w:top w:val="single" w:sz="1" w:space="0" w:color="CCCCCC"/>
              <w:left w:val="single" w:sz="1" w:space="0" w:color="CCCCCC"/>
              <w:bottom w:val="single" w:sz="1" w:space="0" w:color="CCCCCC"/>
              <w:right w:val="single" w:sz="1" w:space="0" w:color="CCCCCC"/>
            </w:tcBorders>
            <w:shd w:val="clear" w:color="auto" w:fill="F5F5F5"/>
            <w:tcMar>
              <w:top w:w="50" w:type="dxa"/>
              <w:left w:w="80" w:type="dxa"/>
              <w:bottom w:w="50" w:type="dxa"/>
              <w:right w:w="80" w:type="dxa"/>
            </w:tcMar>
          </w:tcPr>
          <w:p w14:paraId="50A883FA" w14:textId="77777777" w:rsidR="00AE0893" w:rsidRDefault="00000000">
            <w:pPr>
              <w:jc w:val="center"/>
            </w:pPr>
            <w:r>
              <w:rPr>
                <w:sz w:val="17"/>
                <w:szCs w:val="17"/>
              </w:rPr>
              <w:t>102</w:t>
            </w:r>
          </w:p>
        </w:tc>
        <w:tc>
          <w:tcPr>
            <w:tcW w:w="1360" w:type="dxa"/>
            <w:tcBorders>
              <w:top w:val="single" w:sz="1" w:space="0" w:color="CCCCCC"/>
              <w:left w:val="single" w:sz="1" w:space="0" w:color="CCCCCC"/>
              <w:bottom w:val="single" w:sz="1" w:space="0" w:color="CCCCCC"/>
              <w:right w:val="single" w:sz="1" w:space="0" w:color="CCCCCC"/>
            </w:tcBorders>
            <w:shd w:val="clear" w:color="auto" w:fill="F5F5F5"/>
            <w:tcMar>
              <w:top w:w="50" w:type="dxa"/>
              <w:left w:w="80" w:type="dxa"/>
              <w:bottom w:w="50" w:type="dxa"/>
              <w:right w:w="80" w:type="dxa"/>
            </w:tcMar>
          </w:tcPr>
          <w:p w14:paraId="6BDBFA3D" w14:textId="77777777" w:rsidR="00AE0893" w:rsidRDefault="00000000">
            <w:pPr>
              <w:jc w:val="center"/>
            </w:pPr>
            <w:r>
              <w:rPr>
                <w:b/>
                <w:bCs/>
                <w:color w:val="8B1A1A"/>
                <w:sz w:val="17"/>
                <w:szCs w:val="17"/>
              </w:rPr>
              <w:t>Non</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50" w:type="dxa"/>
              <w:left w:w="80" w:type="dxa"/>
              <w:bottom w:w="50" w:type="dxa"/>
              <w:right w:w="80" w:type="dxa"/>
            </w:tcMar>
          </w:tcPr>
          <w:p w14:paraId="711BEFFE" w14:textId="77777777" w:rsidR="00AE0893" w:rsidRDefault="00000000">
            <w:r>
              <w:rPr>
                <w:i/>
                <w:iCs/>
                <w:color w:val="2E5F8A"/>
                <w:sz w:val="17"/>
                <w:szCs w:val="17"/>
              </w:rPr>
              <w:t>Résistant</w:t>
            </w:r>
          </w:p>
        </w:tc>
      </w:tr>
    </w:tbl>
    <w:p w14:paraId="4CB33C01" w14:textId="77777777" w:rsidR="00AE0893" w:rsidRDefault="00000000">
      <w:pPr>
        <w:spacing w:before="50" w:after="100"/>
        <w:jc w:val="center"/>
      </w:pPr>
      <w:r>
        <w:rPr>
          <w:i/>
          <w:iCs/>
          <w:color w:val="555555"/>
          <w:sz w:val="17"/>
          <w:szCs w:val="17"/>
        </w:rPr>
        <w:t>Source : enquête de terrain Bouzaroura Cherif, 2023-2024</w:t>
      </w:r>
    </w:p>
    <w:p w14:paraId="1311C5D6" w14:textId="77777777" w:rsidR="00AE0893" w:rsidRDefault="00000000">
      <w:pPr>
        <w:pStyle w:val="Titre2"/>
      </w:pPr>
      <w:r>
        <w:t>3.3 Collecte et analyse des données</w:t>
      </w:r>
    </w:p>
    <w:p w14:paraId="2BDF638F" w14:textId="1B411CBF" w:rsidR="00AE0893" w:rsidRDefault="00000000">
      <w:pPr>
        <w:spacing w:before="140" w:after="140" w:line="380" w:lineRule="auto"/>
        <w:jc w:val="both"/>
      </w:pPr>
      <w:r>
        <w:t>Les données primaires ont été collectées via des entretiens semi-directifs d’une durée moyenne de 68 minutes, conduits entre septembre 2023 et mars 2024. Chaque entretien impliquait deux répondants par ETI : le directeur HSE et le directeur financier ou responsable du reporting extra-financier. Le guide d’entretien couvrait cinq thèmes : compréhension de la double matérialité, processus d’analyse mis en œuvre, gouvernance CSRD, liens avec les pratiques ISO existantes, bénéfices et difficultés perçus.</w:t>
      </w:r>
    </w:p>
    <w:p w14:paraId="33FB1CFF" w14:textId="77777777" w:rsidR="00AE0893" w:rsidRDefault="00000000">
      <w:pPr>
        <w:spacing w:before="140" w:after="140" w:line="380" w:lineRule="auto"/>
        <w:jc w:val="both"/>
      </w:pPr>
      <w:r>
        <w:t>L’analyse thématique (Braun et Clarke, 2006) a été réalisée en double aveugle avec un accord inter-codeurs de 0,78 (kappa de Cohen), jugé satisfaisant pour une analyse qualitative (Landis et Koch, 1977). Les données secondaires comprennent les rapports DPEF 2022-2024, les réponses CDP et EcoVadis disponibles, et la documentation interne partagée par les répondants.</w:t>
      </w:r>
    </w:p>
    <w:p w14:paraId="43943761" w14:textId="77777777" w:rsidR="00AE0893" w:rsidRDefault="00AE0893">
      <w:pPr>
        <w:spacing w:before="60" w:after="60"/>
      </w:pPr>
    </w:p>
    <w:p w14:paraId="281D6ECA" w14:textId="77777777" w:rsidR="00AE0893" w:rsidRDefault="00000000">
      <w:r>
        <w:br w:type="page"/>
      </w:r>
    </w:p>
    <w:p w14:paraId="0C2FFA1A" w14:textId="77777777" w:rsidR="00AE0893" w:rsidRDefault="00000000">
      <w:pPr>
        <w:pStyle w:val="Titre1"/>
      </w:pPr>
      <w:r>
        <w:lastRenderedPageBreak/>
        <w:t>4. Résultats</w:t>
      </w:r>
    </w:p>
    <w:p w14:paraId="279A6C32" w14:textId="77777777" w:rsidR="00AE0893" w:rsidRDefault="00000000">
      <w:pPr>
        <w:pStyle w:val="Titre2"/>
      </w:pPr>
      <w:r>
        <w:t>4.1 Quatre profils d’adoption de la double matérialité</w:t>
      </w:r>
    </w:p>
    <w:p w14:paraId="6A358F35" w14:textId="6ACA2FFC" w:rsidR="00AE0893" w:rsidRDefault="00000000">
      <w:pPr>
        <w:spacing w:before="140" w:after="140" w:line="380" w:lineRule="auto"/>
        <w:jc w:val="both"/>
      </w:pPr>
      <w:r>
        <w:t>L’analyse thématique révèle une forte hétérogénéité des pratiques au sein de notre échantillon. Deux dimensions croisées structurent les différences : le degré de compréhension conceptuelle de la double matérialité (de superficiel à approfondi) et le degré d’intégration dans les processus de décision stratégique (de symbolique à substantiel). Quatre profils distincts émergent.</w:t>
      </w:r>
    </w:p>
    <w:p w14:paraId="23C3C450" w14:textId="164D8B3A" w:rsidR="00AE0893" w:rsidRDefault="00000000">
      <w:pPr>
        <w:pStyle w:val="Titre3"/>
      </w:pPr>
      <w:r>
        <w:t>Profil 1 Le conformiste contraint (ETI-C, ETI-I, ETI-J)</w:t>
      </w:r>
    </w:p>
    <w:p w14:paraId="284F05A9" w14:textId="77777777" w:rsidR="00AE0893" w:rsidRDefault="00000000">
      <w:pPr>
        <w:spacing w:before="140" w:after="140" w:line="380" w:lineRule="auto"/>
        <w:jc w:val="both"/>
      </w:pPr>
      <w:r>
        <w:t>Pour ces ETI, la CSRD est une obligation légale à remplir au moindre coût. La double matérialité est vécue comme un exercice administratif, non comme un outil de gestion. L’analyse de matérialité est entièrement sous-traitée à des cabinets de conseil, sans appropriation interne. Le directeur HSE d’ETI-C résume cette posture :</w:t>
      </w:r>
    </w:p>
    <w:p w14:paraId="7A98DAA4" w14:textId="77777777" w:rsidR="00AE0893" w:rsidRDefault="00000000">
      <w:pPr>
        <w:spacing w:before="120" w:after="120" w:line="340" w:lineRule="auto"/>
        <w:ind w:left="720" w:right="720"/>
        <w:jc w:val="both"/>
      </w:pPr>
      <w:r>
        <w:rPr>
          <w:i/>
          <w:iCs/>
          <w:color w:val="555555"/>
          <w:sz w:val="22"/>
          <w:szCs w:val="22"/>
        </w:rPr>
        <w:t>« La CSRD, pour nous, c’est un rapport de plus. On va faire l’analyse de matérialité parce qu’on y est obligés, on va cocher les cases des ESRS, et on espère que l’auditeur sera satisfait. Ce n’est pas notre priorité stratégique. »</w:t>
      </w:r>
    </w:p>
    <w:p w14:paraId="5508B2E6" w14:textId="0E978641" w:rsidR="00AE0893" w:rsidRDefault="00000000">
      <w:pPr>
        <w:spacing w:before="140" w:after="140" w:line="380" w:lineRule="auto"/>
        <w:jc w:val="both"/>
      </w:pPr>
      <w:r>
        <w:t>Analyse : ce verbatim mobilise un champ lexical exclusivement réactif obligés, cocher les cases, satisfait, caractéristique de l’adoption symbolique au sens de Meyer et Rowan (1977). L’expression rapport de plus signale l’absence totale de valeur stratégique perçue. Ces ETI n’ont aucune certification environnementale préalable et manquent des données et de la culture de mesure nécessaires pour dépasser la conformité minimale.</w:t>
      </w:r>
    </w:p>
    <w:p w14:paraId="49C3FBFE" w14:textId="15A22AA6" w:rsidR="00AE0893" w:rsidRDefault="00000000">
      <w:pPr>
        <w:pStyle w:val="Titre3"/>
      </w:pPr>
      <w:r>
        <w:t>Profil 2 L’opportuniste stratégique (ETI-A, ETI-E, ETI-H)</w:t>
      </w:r>
    </w:p>
    <w:p w14:paraId="7EA72253" w14:textId="77777777" w:rsidR="00AE0893" w:rsidRDefault="00000000">
      <w:pPr>
        <w:spacing w:before="140" w:after="140" w:line="380" w:lineRule="auto"/>
        <w:jc w:val="both"/>
      </w:pPr>
      <w:r>
        <w:t>Ces ETI reconnaissent le potentiel stratégique de la CSRD mais peinent à intégrer la double matérialité dans leurs processus existants. Elles la voient principalement comme un signal de crédibilité vis-à-vis de leurs donneurs d’ordre et de leurs financeurs. La directrice financière d’ETI-H :</w:t>
      </w:r>
    </w:p>
    <w:p w14:paraId="6CDCCF4C" w14:textId="750F22B2" w:rsidR="00AE0893" w:rsidRDefault="00D23940">
      <w:pPr>
        <w:spacing w:before="120" w:after="120" w:line="340" w:lineRule="auto"/>
        <w:ind w:left="720" w:right="720"/>
        <w:jc w:val="both"/>
      </w:pPr>
      <w:r>
        <w:rPr>
          <w:i/>
          <w:iCs/>
          <w:color w:val="555555"/>
          <w:sz w:val="22"/>
          <w:szCs w:val="22"/>
        </w:rPr>
        <w:t>« Nos clients grands groupes nous demandent de remplir leurs questionnaires fournisseurs. La CSRD va nous permettre d’avoir une réponse structurée. C’est aussi ce que notre banque nous a demandé pour notre ligne de crédit vert. Donc on le fait, mais ça ne transforme pas encore notre stratégie. »</w:t>
      </w:r>
    </w:p>
    <w:p w14:paraId="6E098E44" w14:textId="77777777" w:rsidR="00AE0893" w:rsidRDefault="00000000">
      <w:pPr>
        <w:spacing w:before="140" w:after="140" w:line="380" w:lineRule="auto"/>
        <w:jc w:val="both"/>
      </w:pPr>
      <w:r>
        <w:lastRenderedPageBreak/>
        <w:t>Ces ETI disposent d’une certification ISO 14001 qui facilite la collecte de données environnementales, mais la matérialité financière (outside-in) reste peu développée.</w:t>
      </w:r>
    </w:p>
    <w:p w14:paraId="7FA3CA0D" w14:textId="5023B87F" w:rsidR="00AE0893" w:rsidRDefault="00000000">
      <w:pPr>
        <w:pStyle w:val="Titre3"/>
      </w:pPr>
      <w:r>
        <w:t>Profil 3 L’innovateur intégré (ETI-B, ETI-D, ETI-F, ETI-K)</w:t>
      </w:r>
    </w:p>
    <w:p w14:paraId="498B3E99" w14:textId="77777777" w:rsidR="00AE0893" w:rsidRDefault="00000000">
      <w:pPr>
        <w:spacing w:before="140" w:after="140" w:line="380" w:lineRule="auto"/>
        <w:jc w:val="both"/>
      </w:pPr>
      <w:r>
        <w:t>Ce profil est le plus avancé. Ces ETI font de la double matérialité un outil de gouvernance articulé avec leur planification stratégique à long terme. Toutes sont certifiées ISO 14001 depuis plus de cinq ans. Le directeur général d’ETI-D :</w:t>
      </w:r>
    </w:p>
    <w:p w14:paraId="7DED4061" w14:textId="3A116D23" w:rsidR="00AE0893" w:rsidRDefault="008D1000">
      <w:pPr>
        <w:spacing w:before="120" w:after="120" w:line="340" w:lineRule="auto"/>
        <w:ind w:left="720" w:right="720"/>
        <w:jc w:val="both"/>
      </w:pPr>
      <w:r>
        <w:rPr>
          <w:i/>
          <w:iCs/>
          <w:color w:val="555555"/>
          <w:sz w:val="22"/>
          <w:szCs w:val="22"/>
        </w:rPr>
        <w:t>« L’analyse de double matérialité nous a forcés à regarder nos risques physiques liés au changement climatique — nos sites en zone inondable, nos fournisseurs en zone de stress hydrique. On a découvert une exposition que notre direction des risques n’avait pas quantifiée. Cela a changé notre plan d’investissement à cinq ans ».</w:t>
      </w:r>
    </w:p>
    <w:p w14:paraId="11CBD069" w14:textId="28127183" w:rsidR="00AE0893" w:rsidRDefault="00000000">
      <w:pPr>
        <w:spacing w:before="140" w:after="140" w:line="380" w:lineRule="auto"/>
        <w:jc w:val="both"/>
      </w:pPr>
      <w:r>
        <w:t>Analyse : ce verbatim illustre le basculement cognitif de la matérialité d’impact vers la matérialité financière. Le dirigeant découvre via la CSRD une exposition aux risques physiques climatiques que son système de gestion des risques n’avait pas identifiée résultat cohérent avec la thèse de Fiechter et al. (2022) sur l’effet cognitif du reporting contraint. Ces ETI ont internalisé l’analyse de matérialité et intégré les résultats dans leur plan d’investissement à cinq ans.</w:t>
      </w:r>
    </w:p>
    <w:p w14:paraId="530719B2" w14:textId="564EA55A" w:rsidR="00AE0893" w:rsidRDefault="00000000">
      <w:pPr>
        <w:pStyle w:val="Titre3"/>
      </w:pPr>
      <w:r>
        <w:t>Profil 4 Le résistant structurel (ETI-G, ETI-L)</w:t>
      </w:r>
    </w:p>
    <w:p w14:paraId="52719B6D" w14:textId="77777777" w:rsidR="00AE0893" w:rsidRDefault="00000000">
      <w:pPr>
        <w:spacing w:before="140" w:after="140" w:line="380" w:lineRule="auto"/>
        <w:jc w:val="both"/>
      </w:pPr>
      <w:r>
        <w:t>Ces ETI manifestent une résistance organisationnelle active. Moins par rejet idéologique que par manque de ressources et de gouvernance environnementale. Le directeur financier d’ETI-G :</w:t>
      </w:r>
    </w:p>
    <w:p w14:paraId="6B6495AA" w14:textId="4149DDC2" w:rsidR="00AE0893" w:rsidRDefault="008D1000">
      <w:pPr>
        <w:spacing w:before="120" w:after="120" w:line="340" w:lineRule="auto"/>
        <w:ind w:left="720" w:right="720"/>
        <w:jc w:val="both"/>
      </w:pPr>
      <w:r>
        <w:rPr>
          <w:i/>
          <w:iCs/>
          <w:color w:val="555555"/>
          <w:sz w:val="22"/>
          <w:szCs w:val="22"/>
        </w:rPr>
        <w:t>« On est une ETI familiale de 900 personnes. Mettre en place la CSRD avec vérification par un OTI, ça représente deux ETP supplémentaires et des honoraires d’audit qu’on n’a pas budgétés. Pour nous, c’est une réglementation faite pour les grands groupes. »</w:t>
      </w:r>
    </w:p>
    <w:p w14:paraId="0CCE7846" w14:textId="77777777" w:rsidR="00AE0893" w:rsidRDefault="00AE0893">
      <w:pPr>
        <w:spacing w:before="60" w:after="60"/>
      </w:pPr>
    </w:p>
    <w:p w14:paraId="67E8BCEA" w14:textId="77777777" w:rsidR="00AE0893" w:rsidRDefault="00000000">
      <w:pPr>
        <w:pStyle w:val="Titre2"/>
      </w:pPr>
      <w:r>
        <w:t>4.2 Variables organisationnelles déterminantes</w:t>
      </w:r>
    </w:p>
    <w:p w14:paraId="66A452A5" w14:textId="77777777" w:rsidR="00AE0893" w:rsidRDefault="00000000">
      <w:pPr>
        <w:spacing w:before="140" w:after="140" w:line="380" w:lineRule="auto"/>
        <w:jc w:val="both"/>
      </w:pPr>
      <w:r>
        <w:t>L’analyse transversale identifie cinq variables associées au profil d’adoption dans notre échantillon :</w:t>
      </w:r>
    </w:p>
    <w:p w14:paraId="49036486" w14:textId="6922FF95" w:rsidR="00AE0893" w:rsidRDefault="00000000">
      <w:pPr>
        <w:pStyle w:val="Paragraphedeliste"/>
        <w:numPr>
          <w:ilvl w:val="0"/>
          <w:numId w:val="2"/>
        </w:numPr>
        <w:spacing w:before="80" w:after="80" w:line="360" w:lineRule="auto"/>
        <w:jc w:val="both"/>
      </w:pPr>
      <w:r>
        <w:t>La certification ISO 14001 ancienne (plus de cinq ans) — variable la plus associée au profil intégrateur dans notre échantillon : les quatre ETI intégratrices sont toutes certifiées depuis plus de cinq ans, tandis qu’aucune ETI résistante ou conformiste non certifiée n’atteint ce profil. Cette association est nette sur nos douze cas mais ne constitue pas une preuve causale — d’autres facteurs covariants (taille, secteur, gouvernance) ne peuvent être contrôlés sur un si petit échantillon.</w:t>
      </w:r>
    </w:p>
    <w:p w14:paraId="223447B1" w14:textId="4056A954" w:rsidR="00AE0893" w:rsidRDefault="00000000">
      <w:pPr>
        <w:pStyle w:val="Paragraphedeliste"/>
        <w:numPr>
          <w:ilvl w:val="0"/>
          <w:numId w:val="2"/>
        </w:numPr>
        <w:spacing w:before="80" w:after="80" w:line="360" w:lineRule="auto"/>
        <w:jc w:val="both"/>
      </w:pPr>
      <w:r>
        <w:lastRenderedPageBreak/>
        <w:t>L’exposition aux risques climatiques physiques les ETI confrontées à des risques physiques quantifiables développent plus spontanément la matérialité financière.</w:t>
      </w:r>
    </w:p>
    <w:p w14:paraId="4AAF1110" w14:textId="4FFB9367" w:rsidR="00AE0893" w:rsidRDefault="00000000">
      <w:pPr>
        <w:pStyle w:val="Paragraphedeliste"/>
        <w:numPr>
          <w:ilvl w:val="0"/>
          <w:numId w:val="2"/>
        </w:numPr>
        <w:spacing w:before="80" w:after="80" w:line="360" w:lineRule="auto"/>
        <w:jc w:val="both"/>
      </w:pPr>
      <w:r>
        <w:t>La pression des donneurs d’ordre les ETI intégrées dans les chaînes de valeur de grands groupes CSRD subissent des pressions qui accélèrent l’adoption.</w:t>
      </w:r>
    </w:p>
    <w:p w14:paraId="392E82C2" w14:textId="5C912207" w:rsidR="00AE0893" w:rsidRDefault="00000000">
      <w:pPr>
        <w:pStyle w:val="Paragraphedeliste"/>
        <w:numPr>
          <w:ilvl w:val="0"/>
          <w:numId w:val="2"/>
        </w:numPr>
        <w:spacing w:before="80" w:after="80" w:line="360" w:lineRule="auto"/>
        <w:jc w:val="both"/>
      </w:pPr>
      <w:r>
        <w:t>La gouvernance de la durabilité la présence d’un CSO (Chief Sustainability Officer) ou d’un comité RSE au niveau du conseil est fortement corrélée au profil intégrateur.</w:t>
      </w:r>
    </w:p>
    <w:p w14:paraId="485B0E30" w14:textId="313D0E08" w:rsidR="00AE0893" w:rsidRDefault="00000000">
      <w:pPr>
        <w:pStyle w:val="Paragraphedeliste"/>
        <w:numPr>
          <w:ilvl w:val="0"/>
          <w:numId w:val="2"/>
        </w:numPr>
        <w:spacing w:before="80" w:after="80" w:line="360" w:lineRule="auto"/>
        <w:jc w:val="both"/>
      </w:pPr>
      <w:r>
        <w:t>L’accès au financement vert les ETI ayant négocié des prêts à impact sont davantage incitées à développer une matérialité financière rigoureuse.</w:t>
      </w:r>
    </w:p>
    <w:p w14:paraId="683C2CBD" w14:textId="77777777" w:rsidR="00AE0893" w:rsidRDefault="00AE0893">
      <w:pPr>
        <w:spacing w:before="40" w:after="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99"/>
        <w:gridCol w:w="1713"/>
        <w:gridCol w:w="1713"/>
        <w:gridCol w:w="1713"/>
        <w:gridCol w:w="1922"/>
      </w:tblGrid>
      <w:tr w:rsidR="00AE0893" w14:paraId="2205CFD0" w14:textId="77777777">
        <w:tblPrEx>
          <w:tblCellMar>
            <w:top w:w="0" w:type="dxa"/>
            <w:bottom w:w="0" w:type="dxa"/>
          </w:tblCellMar>
        </w:tblPrEx>
        <w:tc>
          <w:tcPr>
            <w:tcW w:w="2200" w:type="dxa"/>
            <w:tcBorders>
              <w:top w:val="single" w:sz="1" w:space="0" w:color="1A2D4A"/>
              <w:left w:val="single" w:sz="1" w:space="0" w:color="1A2D4A"/>
              <w:bottom w:val="single" w:sz="1" w:space="0" w:color="1A2D4A"/>
              <w:right w:val="single" w:sz="1" w:space="0" w:color="1A2D4A"/>
            </w:tcBorders>
            <w:shd w:val="clear" w:color="auto" w:fill="1A2D4A"/>
            <w:tcMar>
              <w:top w:w="70" w:type="dxa"/>
              <w:left w:w="80" w:type="dxa"/>
              <w:bottom w:w="70" w:type="dxa"/>
              <w:right w:w="80" w:type="dxa"/>
            </w:tcMar>
          </w:tcPr>
          <w:p w14:paraId="678D3EAD" w14:textId="77777777" w:rsidR="00AE0893" w:rsidRDefault="00000000">
            <w:pPr>
              <w:jc w:val="center"/>
            </w:pPr>
            <w:r>
              <w:rPr>
                <w:b/>
                <w:bCs/>
                <w:color w:val="FFFFFF"/>
                <w:sz w:val="17"/>
                <w:szCs w:val="17"/>
              </w:rPr>
              <w:t>Variable</w:t>
            </w:r>
          </w:p>
        </w:tc>
        <w:tc>
          <w:tcPr>
            <w:tcW w:w="1640" w:type="dxa"/>
            <w:tcBorders>
              <w:top w:val="single" w:sz="1" w:space="0" w:color="1A2D4A"/>
              <w:left w:val="single" w:sz="1" w:space="0" w:color="1A2D4A"/>
              <w:bottom w:val="single" w:sz="1" w:space="0" w:color="1A2D4A"/>
              <w:right w:val="single" w:sz="1" w:space="0" w:color="1A2D4A"/>
            </w:tcBorders>
            <w:shd w:val="clear" w:color="auto" w:fill="1A2D4A"/>
            <w:tcMar>
              <w:top w:w="70" w:type="dxa"/>
              <w:left w:w="80" w:type="dxa"/>
              <w:bottom w:w="70" w:type="dxa"/>
              <w:right w:w="80" w:type="dxa"/>
            </w:tcMar>
          </w:tcPr>
          <w:p w14:paraId="30AA61E5" w14:textId="77777777" w:rsidR="00AE0893" w:rsidRDefault="00000000">
            <w:pPr>
              <w:jc w:val="center"/>
            </w:pPr>
            <w:r>
              <w:rPr>
                <w:b/>
                <w:bCs/>
                <w:color w:val="FFFFFF"/>
                <w:sz w:val="17"/>
                <w:szCs w:val="17"/>
              </w:rPr>
              <w:t>Conformiste</w:t>
            </w:r>
          </w:p>
        </w:tc>
        <w:tc>
          <w:tcPr>
            <w:tcW w:w="1640" w:type="dxa"/>
            <w:tcBorders>
              <w:top w:val="single" w:sz="1" w:space="0" w:color="1A2D4A"/>
              <w:left w:val="single" w:sz="1" w:space="0" w:color="1A2D4A"/>
              <w:bottom w:val="single" w:sz="1" w:space="0" w:color="1A2D4A"/>
              <w:right w:val="single" w:sz="1" w:space="0" w:color="1A2D4A"/>
            </w:tcBorders>
            <w:shd w:val="clear" w:color="auto" w:fill="1A2D4A"/>
            <w:tcMar>
              <w:top w:w="70" w:type="dxa"/>
              <w:left w:w="80" w:type="dxa"/>
              <w:bottom w:w="70" w:type="dxa"/>
              <w:right w:w="80" w:type="dxa"/>
            </w:tcMar>
          </w:tcPr>
          <w:p w14:paraId="137A4903" w14:textId="77777777" w:rsidR="00AE0893" w:rsidRDefault="00000000">
            <w:pPr>
              <w:jc w:val="center"/>
            </w:pPr>
            <w:r>
              <w:rPr>
                <w:b/>
                <w:bCs/>
                <w:color w:val="FFFFFF"/>
                <w:sz w:val="17"/>
                <w:szCs w:val="17"/>
              </w:rPr>
              <w:t>Opportuniste</w:t>
            </w:r>
          </w:p>
        </w:tc>
        <w:tc>
          <w:tcPr>
            <w:tcW w:w="1640" w:type="dxa"/>
            <w:tcBorders>
              <w:top w:val="single" w:sz="1" w:space="0" w:color="1A2D4A"/>
              <w:left w:val="single" w:sz="1" w:space="0" w:color="1A2D4A"/>
              <w:bottom w:val="single" w:sz="1" w:space="0" w:color="1A2D4A"/>
              <w:right w:val="single" w:sz="1" w:space="0" w:color="1A2D4A"/>
            </w:tcBorders>
            <w:shd w:val="clear" w:color="auto" w:fill="1A2D4A"/>
            <w:tcMar>
              <w:top w:w="70" w:type="dxa"/>
              <w:left w:w="80" w:type="dxa"/>
              <w:bottom w:w="70" w:type="dxa"/>
              <w:right w:w="80" w:type="dxa"/>
            </w:tcMar>
          </w:tcPr>
          <w:p w14:paraId="554FC21E" w14:textId="77777777" w:rsidR="00AE0893" w:rsidRDefault="00000000">
            <w:pPr>
              <w:jc w:val="center"/>
            </w:pPr>
            <w:r>
              <w:rPr>
                <w:b/>
                <w:bCs/>
                <w:color w:val="FFFFFF"/>
                <w:sz w:val="17"/>
                <w:szCs w:val="17"/>
              </w:rPr>
              <w:t>Intégrateur</w:t>
            </w:r>
          </w:p>
        </w:tc>
        <w:tc>
          <w:tcPr>
            <w:tcW w:w="1840" w:type="dxa"/>
            <w:tcBorders>
              <w:top w:val="single" w:sz="1" w:space="0" w:color="1A2D4A"/>
              <w:left w:val="single" w:sz="1" w:space="0" w:color="1A2D4A"/>
              <w:bottom w:val="single" w:sz="1" w:space="0" w:color="1A2D4A"/>
              <w:right w:val="single" w:sz="1" w:space="0" w:color="1A2D4A"/>
            </w:tcBorders>
            <w:shd w:val="clear" w:color="auto" w:fill="1A2D4A"/>
            <w:tcMar>
              <w:top w:w="70" w:type="dxa"/>
              <w:left w:w="80" w:type="dxa"/>
              <w:bottom w:w="70" w:type="dxa"/>
              <w:right w:w="80" w:type="dxa"/>
            </w:tcMar>
          </w:tcPr>
          <w:p w14:paraId="6FD6E46B" w14:textId="77777777" w:rsidR="00AE0893" w:rsidRDefault="00000000">
            <w:pPr>
              <w:jc w:val="center"/>
            </w:pPr>
            <w:r>
              <w:rPr>
                <w:b/>
                <w:bCs/>
                <w:color w:val="FFFFFF"/>
                <w:sz w:val="17"/>
                <w:szCs w:val="17"/>
              </w:rPr>
              <w:t>Résistant</w:t>
            </w:r>
          </w:p>
        </w:tc>
      </w:tr>
      <w:tr w:rsidR="00AE0893" w14:paraId="269E2378"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80" w:type="dxa"/>
              <w:bottom w:w="60" w:type="dxa"/>
              <w:right w:w="80" w:type="dxa"/>
            </w:tcMar>
          </w:tcPr>
          <w:p w14:paraId="54022A9D" w14:textId="77777777" w:rsidR="00AE0893" w:rsidRDefault="00000000">
            <w:r>
              <w:rPr>
                <w:b/>
                <w:bCs/>
                <w:sz w:val="17"/>
                <w:szCs w:val="17"/>
              </w:rPr>
              <w:t>ISO 14001 &gt;= 5 ans</w:t>
            </w:r>
          </w:p>
        </w:tc>
        <w:tc>
          <w:tcPr>
            <w:tcW w:w="1640" w:type="dxa"/>
            <w:tcBorders>
              <w:top w:val="single" w:sz="1" w:space="0" w:color="CCCCCC"/>
              <w:left w:val="single" w:sz="1" w:space="0" w:color="CCCCCC"/>
              <w:bottom w:val="single" w:sz="1" w:space="0" w:color="CCCCCC"/>
              <w:right w:val="single" w:sz="1" w:space="0" w:color="CCCCCC"/>
            </w:tcBorders>
            <w:shd w:val="clear" w:color="auto" w:fill="FFFFFF"/>
            <w:tcMar>
              <w:top w:w="60" w:type="dxa"/>
              <w:left w:w="80" w:type="dxa"/>
              <w:bottom w:w="60" w:type="dxa"/>
              <w:right w:w="80" w:type="dxa"/>
            </w:tcMar>
          </w:tcPr>
          <w:p w14:paraId="7229B0E2" w14:textId="77777777" w:rsidR="00AE0893" w:rsidRDefault="00000000">
            <w:pPr>
              <w:jc w:val="center"/>
            </w:pPr>
            <w:r>
              <w:rPr>
                <w:color w:val="8B1A1A"/>
                <w:sz w:val="17"/>
                <w:szCs w:val="17"/>
              </w:rPr>
              <w:t>0/3</w:t>
            </w:r>
          </w:p>
        </w:tc>
        <w:tc>
          <w:tcPr>
            <w:tcW w:w="1640" w:type="dxa"/>
            <w:tcBorders>
              <w:top w:val="single" w:sz="1" w:space="0" w:color="CCCCCC"/>
              <w:left w:val="single" w:sz="1" w:space="0" w:color="CCCCCC"/>
              <w:bottom w:val="single" w:sz="1" w:space="0" w:color="CCCCCC"/>
              <w:right w:val="single" w:sz="1" w:space="0" w:color="CCCCCC"/>
            </w:tcBorders>
            <w:shd w:val="clear" w:color="auto" w:fill="FFFFFF"/>
            <w:tcMar>
              <w:top w:w="60" w:type="dxa"/>
              <w:left w:w="80" w:type="dxa"/>
              <w:bottom w:w="60" w:type="dxa"/>
              <w:right w:w="80" w:type="dxa"/>
            </w:tcMar>
          </w:tcPr>
          <w:p w14:paraId="4473C4DD" w14:textId="77777777" w:rsidR="00AE0893" w:rsidRDefault="00000000">
            <w:pPr>
              <w:jc w:val="center"/>
            </w:pPr>
            <w:r>
              <w:rPr>
                <w:color w:val="8A6A1A"/>
                <w:sz w:val="17"/>
                <w:szCs w:val="17"/>
              </w:rPr>
              <w:t>2/3</w:t>
            </w:r>
          </w:p>
        </w:tc>
        <w:tc>
          <w:tcPr>
            <w:tcW w:w="1640" w:type="dxa"/>
            <w:tcBorders>
              <w:top w:val="single" w:sz="1" w:space="0" w:color="CCCCCC"/>
              <w:left w:val="single" w:sz="1" w:space="0" w:color="CCCCCC"/>
              <w:bottom w:val="single" w:sz="1" w:space="0" w:color="CCCCCC"/>
              <w:right w:val="single" w:sz="1" w:space="0" w:color="CCCCCC"/>
            </w:tcBorders>
            <w:shd w:val="clear" w:color="auto" w:fill="FFFFFF"/>
            <w:tcMar>
              <w:top w:w="60" w:type="dxa"/>
              <w:left w:w="80" w:type="dxa"/>
              <w:bottom w:w="60" w:type="dxa"/>
              <w:right w:w="80" w:type="dxa"/>
            </w:tcMar>
          </w:tcPr>
          <w:p w14:paraId="28542861" w14:textId="77777777" w:rsidR="00AE0893" w:rsidRDefault="00000000">
            <w:pPr>
              <w:jc w:val="center"/>
            </w:pPr>
            <w:r>
              <w:rPr>
                <w:color w:val="1A6B5A"/>
                <w:sz w:val="17"/>
                <w:szCs w:val="17"/>
              </w:rPr>
              <w:t>4/4</w:t>
            </w:r>
          </w:p>
        </w:tc>
        <w:tc>
          <w:tcPr>
            <w:tcW w:w="1840" w:type="dxa"/>
            <w:tcBorders>
              <w:top w:val="single" w:sz="1" w:space="0" w:color="CCCCCC"/>
              <w:left w:val="single" w:sz="1" w:space="0" w:color="CCCCCC"/>
              <w:bottom w:val="single" w:sz="1" w:space="0" w:color="CCCCCC"/>
              <w:right w:val="single" w:sz="1" w:space="0" w:color="CCCCCC"/>
            </w:tcBorders>
            <w:shd w:val="clear" w:color="auto" w:fill="FFFFFF"/>
            <w:tcMar>
              <w:top w:w="60" w:type="dxa"/>
              <w:left w:w="80" w:type="dxa"/>
              <w:bottom w:w="60" w:type="dxa"/>
              <w:right w:w="80" w:type="dxa"/>
            </w:tcMar>
          </w:tcPr>
          <w:p w14:paraId="3F9DDFC3" w14:textId="77777777" w:rsidR="00AE0893" w:rsidRDefault="00000000">
            <w:pPr>
              <w:jc w:val="center"/>
            </w:pPr>
            <w:r>
              <w:rPr>
                <w:color w:val="8B1A1A"/>
                <w:sz w:val="17"/>
                <w:szCs w:val="17"/>
              </w:rPr>
              <w:t>0/2</w:t>
            </w:r>
          </w:p>
        </w:tc>
      </w:tr>
      <w:tr w:rsidR="00AE0893" w14:paraId="45338287"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80" w:type="dxa"/>
              <w:bottom w:w="60" w:type="dxa"/>
              <w:right w:w="80" w:type="dxa"/>
            </w:tcMar>
          </w:tcPr>
          <w:p w14:paraId="1BC36E17" w14:textId="77777777" w:rsidR="00AE0893" w:rsidRDefault="00000000">
            <w:r>
              <w:rPr>
                <w:b/>
                <w:bCs/>
                <w:sz w:val="17"/>
                <w:szCs w:val="17"/>
              </w:rPr>
              <w:t>Gouvernance RSE formelle</w:t>
            </w:r>
          </w:p>
        </w:tc>
        <w:tc>
          <w:tcPr>
            <w:tcW w:w="1640" w:type="dxa"/>
            <w:tcBorders>
              <w:top w:val="single" w:sz="1" w:space="0" w:color="CCCCCC"/>
              <w:left w:val="single" w:sz="1" w:space="0" w:color="CCCCCC"/>
              <w:bottom w:val="single" w:sz="1" w:space="0" w:color="CCCCCC"/>
              <w:right w:val="single" w:sz="1" w:space="0" w:color="CCCCCC"/>
            </w:tcBorders>
            <w:shd w:val="clear" w:color="auto" w:fill="F5F5F5"/>
            <w:tcMar>
              <w:top w:w="60" w:type="dxa"/>
              <w:left w:w="80" w:type="dxa"/>
              <w:bottom w:w="60" w:type="dxa"/>
              <w:right w:w="80" w:type="dxa"/>
            </w:tcMar>
          </w:tcPr>
          <w:p w14:paraId="33632460" w14:textId="77777777" w:rsidR="00AE0893" w:rsidRDefault="00000000">
            <w:pPr>
              <w:jc w:val="center"/>
            </w:pPr>
            <w:r>
              <w:rPr>
                <w:sz w:val="17"/>
                <w:szCs w:val="17"/>
              </w:rPr>
              <w:t>1/3</w:t>
            </w:r>
          </w:p>
        </w:tc>
        <w:tc>
          <w:tcPr>
            <w:tcW w:w="1640" w:type="dxa"/>
            <w:tcBorders>
              <w:top w:val="single" w:sz="1" w:space="0" w:color="CCCCCC"/>
              <w:left w:val="single" w:sz="1" w:space="0" w:color="CCCCCC"/>
              <w:bottom w:val="single" w:sz="1" w:space="0" w:color="CCCCCC"/>
              <w:right w:val="single" w:sz="1" w:space="0" w:color="CCCCCC"/>
            </w:tcBorders>
            <w:shd w:val="clear" w:color="auto" w:fill="F5F5F5"/>
            <w:tcMar>
              <w:top w:w="60" w:type="dxa"/>
              <w:left w:w="80" w:type="dxa"/>
              <w:bottom w:w="60" w:type="dxa"/>
              <w:right w:w="80" w:type="dxa"/>
            </w:tcMar>
          </w:tcPr>
          <w:p w14:paraId="7D773D4E" w14:textId="77777777" w:rsidR="00AE0893" w:rsidRDefault="00000000">
            <w:pPr>
              <w:jc w:val="center"/>
            </w:pPr>
            <w:r>
              <w:rPr>
                <w:color w:val="8A6A1A"/>
                <w:sz w:val="17"/>
                <w:szCs w:val="17"/>
              </w:rPr>
              <w:t>2/3</w:t>
            </w:r>
          </w:p>
        </w:tc>
        <w:tc>
          <w:tcPr>
            <w:tcW w:w="1640" w:type="dxa"/>
            <w:tcBorders>
              <w:top w:val="single" w:sz="1" w:space="0" w:color="CCCCCC"/>
              <w:left w:val="single" w:sz="1" w:space="0" w:color="CCCCCC"/>
              <w:bottom w:val="single" w:sz="1" w:space="0" w:color="CCCCCC"/>
              <w:right w:val="single" w:sz="1" w:space="0" w:color="CCCCCC"/>
            </w:tcBorders>
            <w:shd w:val="clear" w:color="auto" w:fill="F5F5F5"/>
            <w:tcMar>
              <w:top w:w="60" w:type="dxa"/>
              <w:left w:w="80" w:type="dxa"/>
              <w:bottom w:w="60" w:type="dxa"/>
              <w:right w:w="80" w:type="dxa"/>
            </w:tcMar>
          </w:tcPr>
          <w:p w14:paraId="6277CFA5" w14:textId="77777777" w:rsidR="00AE0893" w:rsidRDefault="00000000">
            <w:pPr>
              <w:jc w:val="center"/>
            </w:pPr>
            <w:r>
              <w:rPr>
                <w:color w:val="1A6B5A"/>
                <w:sz w:val="17"/>
                <w:szCs w:val="17"/>
              </w:rPr>
              <w:t>4/4</w:t>
            </w:r>
          </w:p>
        </w:tc>
        <w:tc>
          <w:tcPr>
            <w:tcW w:w="1840" w:type="dxa"/>
            <w:tcBorders>
              <w:top w:val="single" w:sz="1" w:space="0" w:color="CCCCCC"/>
              <w:left w:val="single" w:sz="1" w:space="0" w:color="CCCCCC"/>
              <w:bottom w:val="single" w:sz="1" w:space="0" w:color="CCCCCC"/>
              <w:right w:val="single" w:sz="1" w:space="0" w:color="CCCCCC"/>
            </w:tcBorders>
            <w:shd w:val="clear" w:color="auto" w:fill="F5F5F5"/>
            <w:tcMar>
              <w:top w:w="60" w:type="dxa"/>
              <w:left w:w="80" w:type="dxa"/>
              <w:bottom w:w="60" w:type="dxa"/>
              <w:right w:w="80" w:type="dxa"/>
            </w:tcMar>
          </w:tcPr>
          <w:p w14:paraId="2965E5F4" w14:textId="77777777" w:rsidR="00AE0893" w:rsidRDefault="00000000">
            <w:pPr>
              <w:jc w:val="center"/>
            </w:pPr>
            <w:r>
              <w:rPr>
                <w:color w:val="8B1A1A"/>
                <w:sz w:val="17"/>
                <w:szCs w:val="17"/>
              </w:rPr>
              <w:t>0/2</w:t>
            </w:r>
          </w:p>
        </w:tc>
      </w:tr>
      <w:tr w:rsidR="00AE0893" w14:paraId="0D1A33E7"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80" w:type="dxa"/>
              <w:bottom w:w="60" w:type="dxa"/>
              <w:right w:w="80" w:type="dxa"/>
            </w:tcMar>
          </w:tcPr>
          <w:p w14:paraId="64235A6B" w14:textId="5DECC9D8" w:rsidR="00AE0893" w:rsidRDefault="008D1000">
            <w:r>
              <w:rPr>
                <w:b/>
                <w:bCs/>
                <w:sz w:val="17"/>
                <w:szCs w:val="17"/>
              </w:rPr>
              <w:t>Pression donneurs d’ordre</w:t>
            </w:r>
          </w:p>
        </w:tc>
        <w:tc>
          <w:tcPr>
            <w:tcW w:w="1640" w:type="dxa"/>
            <w:tcBorders>
              <w:top w:val="single" w:sz="1" w:space="0" w:color="CCCCCC"/>
              <w:left w:val="single" w:sz="1" w:space="0" w:color="CCCCCC"/>
              <w:bottom w:val="single" w:sz="1" w:space="0" w:color="CCCCCC"/>
              <w:right w:val="single" w:sz="1" w:space="0" w:color="CCCCCC"/>
            </w:tcBorders>
            <w:shd w:val="clear" w:color="auto" w:fill="FFFFFF"/>
            <w:tcMar>
              <w:top w:w="60" w:type="dxa"/>
              <w:left w:w="80" w:type="dxa"/>
              <w:bottom w:w="60" w:type="dxa"/>
              <w:right w:w="80" w:type="dxa"/>
            </w:tcMar>
          </w:tcPr>
          <w:p w14:paraId="3B50B1DC" w14:textId="77777777" w:rsidR="00AE0893" w:rsidRDefault="00000000">
            <w:pPr>
              <w:jc w:val="center"/>
            </w:pPr>
            <w:r>
              <w:rPr>
                <w:sz w:val="17"/>
                <w:szCs w:val="17"/>
              </w:rPr>
              <w:t>Moyenne</w:t>
            </w:r>
          </w:p>
        </w:tc>
        <w:tc>
          <w:tcPr>
            <w:tcW w:w="1640" w:type="dxa"/>
            <w:tcBorders>
              <w:top w:val="single" w:sz="1" w:space="0" w:color="CCCCCC"/>
              <w:left w:val="single" w:sz="1" w:space="0" w:color="CCCCCC"/>
              <w:bottom w:val="single" w:sz="1" w:space="0" w:color="CCCCCC"/>
              <w:right w:val="single" w:sz="1" w:space="0" w:color="CCCCCC"/>
            </w:tcBorders>
            <w:shd w:val="clear" w:color="auto" w:fill="FFFFFF"/>
            <w:tcMar>
              <w:top w:w="60" w:type="dxa"/>
              <w:left w:w="80" w:type="dxa"/>
              <w:bottom w:w="60" w:type="dxa"/>
              <w:right w:w="80" w:type="dxa"/>
            </w:tcMar>
          </w:tcPr>
          <w:p w14:paraId="21C4097C" w14:textId="77777777" w:rsidR="00AE0893" w:rsidRDefault="00000000">
            <w:pPr>
              <w:jc w:val="center"/>
            </w:pPr>
            <w:r>
              <w:rPr>
                <w:color w:val="1A6B5A"/>
                <w:sz w:val="17"/>
                <w:szCs w:val="17"/>
              </w:rPr>
              <w:t>Forte</w:t>
            </w:r>
          </w:p>
        </w:tc>
        <w:tc>
          <w:tcPr>
            <w:tcW w:w="1640" w:type="dxa"/>
            <w:tcBorders>
              <w:top w:val="single" w:sz="1" w:space="0" w:color="CCCCCC"/>
              <w:left w:val="single" w:sz="1" w:space="0" w:color="CCCCCC"/>
              <w:bottom w:val="single" w:sz="1" w:space="0" w:color="CCCCCC"/>
              <w:right w:val="single" w:sz="1" w:space="0" w:color="CCCCCC"/>
            </w:tcBorders>
            <w:shd w:val="clear" w:color="auto" w:fill="FFFFFF"/>
            <w:tcMar>
              <w:top w:w="60" w:type="dxa"/>
              <w:left w:w="80" w:type="dxa"/>
              <w:bottom w:w="60" w:type="dxa"/>
              <w:right w:w="80" w:type="dxa"/>
            </w:tcMar>
          </w:tcPr>
          <w:p w14:paraId="78AC953D" w14:textId="77777777" w:rsidR="00AE0893" w:rsidRDefault="00000000">
            <w:pPr>
              <w:jc w:val="center"/>
            </w:pPr>
            <w:r>
              <w:rPr>
                <w:color w:val="1A6B5A"/>
                <w:sz w:val="17"/>
                <w:szCs w:val="17"/>
              </w:rPr>
              <w:t>Forte</w:t>
            </w:r>
          </w:p>
        </w:tc>
        <w:tc>
          <w:tcPr>
            <w:tcW w:w="1840" w:type="dxa"/>
            <w:tcBorders>
              <w:top w:val="single" w:sz="1" w:space="0" w:color="CCCCCC"/>
              <w:left w:val="single" w:sz="1" w:space="0" w:color="CCCCCC"/>
              <w:bottom w:val="single" w:sz="1" w:space="0" w:color="CCCCCC"/>
              <w:right w:val="single" w:sz="1" w:space="0" w:color="CCCCCC"/>
            </w:tcBorders>
            <w:shd w:val="clear" w:color="auto" w:fill="FFFFFF"/>
            <w:tcMar>
              <w:top w:w="60" w:type="dxa"/>
              <w:left w:w="80" w:type="dxa"/>
              <w:bottom w:w="60" w:type="dxa"/>
              <w:right w:w="80" w:type="dxa"/>
            </w:tcMar>
          </w:tcPr>
          <w:p w14:paraId="0FE63209" w14:textId="77777777" w:rsidR="00AE0893" w:rsidRDefault="00000000">
            <w:pPr>
              <w:jc w:val="center"/>
            </w:pPr>
            <w:r>
              <w:rPr>
                <w:color w:val="8B1A1A"/>
                <w:sz w:val="17"/>
                <w:szCs w:val="17"/>
              </w:rPr>
              <w:t>Faible</w:t>
            </w:r>
          </w:p>
        </w:tc>
      </w:tr>
      <w:tr w:rsidR="00AE0893" w14:paraId="20040B08"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80" w:type="dxa"/>
              <w:bottom w:w="60" w:type="dxa"/>
              <w:right w:w="80" w:type="dxa"/>
            </w:tcMar>
          </w:tcPr>
          <w:p w14:paraId="4145D3F9" w14:textId="77777777" w:rsidR="00AE0893" w:rsidRDefault="00000000">
            <w:r>
              <w:rPr>
                <w:b/>
                <w:bCs/>
                <w:sz w:val="17"/>
                <w:szCs w:val="17"/>
              </w:rPr>
              <w:t>Risque physique quantifié</w:t>
            </w:r>
          </w:p>
        </w:tc>
        <w:tc>
          <w:tcPr>
            <w:tcW w:w="1640" w:type="dxa"/>
            <w:tcBorders>
              <w:top w:val="single" w:sz="1" w:space="0" w:color="CCCCCC"/>
              <w:left w:val="single" w:sz="1" w:space="0" w:color="CCCCCC"/>
              <w:bottom w:val="single" w:sz="1" w:space="0" w:color="CCCCCC"/>
              <w:right w:val="single" w:sz="1" w:space="0" w:color="CCCCCC"/>
            </w:tcBorders>
            <w:shd w:val="clear" w:color="auto" w:fill="F5F5F5"/>
            <w:tcMar>
              <w:top w:w="60" w:type="dxa"/>
              <w:left w:w="80" w:type="dxa"/>
              <w:bottom w:w="60" w:type="dxa"/>
              <w:right w:w="80" w:type="dxa"/>
            </w:tcMar>
          </w:tcPr>
          <w:p w14:paraId="2EE1D3FF" w14:textId="77777777" w:rsidR="00AE0893" w:rsidRDefault="00000000">
            <w:pPr>
              <w:jc w:val="center"/>
            </w:pPr>
            <w:r>
              <w:rPr>
                <w:color w:val="8B1A1A"/>
                <w:sz w:val="17"/>
                <w:szCs w:val="17"/>
              </w:rPr>
              <w:t>Non</w:t>
            </w:r>
          </w:p>
        </w:tc>
        <w:tc>
          <w:tcPr>
            <w:tcW w:w="1640" w:type="dxa"/>
            <w:tcBorders>
              <w:top w:val="single" w:sz="1" w:space="0" w:color="CCCCCC"/>
              <w:left w:val="single" w:sz="1" w:space="0" w:color="CCCCCC"/>
              <w:bottom w:val="single" w:sz="1" w:space="0" w:color="CCCCCC"/>
              <w:right w:val="single" w:sz="1" w:space="0" w:color="CCCCCC"/>
            </w:tcBorders>
            <w:shd w:val="clear" w:color="auto" w:fill="F5F5F5"/>
            <w:tcMar>
              <w:top w:w="60" w:type="dxa"/>
              <w:left w:w="80" w:type="dxa"/>
              <w:bottom w:w="60" w:type="dxa"/>
              <w:right w:w="80" w:type="dxa"/>
            </w:tcMar>
          </w:tcPr>
          <w:p w14:paraId="288E9DA1" w14:textId="77777777" w:rsidR="00AE0893" w:rsidRDefault="00000000">
            <w:pPr>
              <w:jc w:val="center"/>
            </w:pPr>
            <w:r>
              <w:rPr>
                <w:color w:val="8A6A1A"/>
                <w:sz w:val="17"/>
                <w:szCs w:val="17"/>
              </w:rPr>
              <w:t>Partiel</w:t>
            </w:r>
          </w:p>
        </w:tc>
        <w:tc>
          <w:tcPr>
            <w:tcW w:w="1640" w:type="dxa"/>
            <w:tcBorders>
              <w:top w:val="single" w:sz="1" w:space="0" w:color="CCCCCC"/>
              <w:left w:val="single" w:sz="1" w:space="0" w:color="CCCCCC"/>
              <w:bottom w:val="single" w:sz="1" w:space="0" w:color="CCCCCC"/>
              <w:right w:val="single" w:sz="1" w:space="0" w:color="CCCCCC"/>
            </w:tcBorders>
            <w:shd w:val="clear" w:color="auto" w:fill="F5F5F5"/>
            <w:tcMar>
              <w:top w:w="60" w:type="dxa"/>
              <w:left w:w="80" w:type="dxa"/>
              <w:bottom w:w="60" w:type="dxa"/>
              <w:right w:w="80" w:type="dxa"/>
            </w:tcMar>
          </w:tcPr>
          <w:p w14:paraId="0241E19D" w14:textId="77777777" w:rsidR="00AE0893" w:rsidRDefault="00000000">
            <w:pPr>
              <w:jc w:val="center"/>
            </w:pPr>
            <w:r>
              <w:rPr>
                <w:color w:val="1A6B5A"/>
                <w:sz w:val="17"/>
                <w:szCs w:val="17"/>
              </w:rPr>
              <w:t>Oui</w:t>
            </w:r>
          </w:p>
        </w:tc>
        <w:tc>
          <w:tcPr>
            <w:tcW w:w="1840" w:type="dxa"/>
            <w:tcBorders>
              <w:top w:val="single" w:sz="1" w:space="0" w:color="CCCCCC"/>
              <w:left w:val="single" w:sz="1" w:space="0" w:color="CCCCCC"/>
              <w:bottom w:val="single" w:sz="1" w:space="0" w:color="CCCCCC"/>
              <w:right w:val="single" w:sz="1" w:space="0" w:color="CCCCCC"/>
            </w:tcBorders>
            <w:shd w:val="clear" w:color="auto" w:fill="F5F5F5"/>
            <w:tcMar>
              <w:top w:w="60" w:type="dxa"/>
              <w:left w:w="80" w:type="dxa"/>
              <w:bottom w:w="60" w:type="dxa"/>
              <w:right w:w="80" w:type="dxa"/>
            </w:tcMar>
          </w:tcPr>
          <w:p w14:paraId="3478F963" w14:textId="77777777" w:rsidR="00AE0893" w:rsidRDefault="00000000">
            <w:pPr>
              <w:jc w:val="center"/>
            </w:pPr>
            <w:r>
              <w:rPr>
                <w:color w:val="8B1A1A"/>
                <w:sz w:val="17"/>
                <w:szCs w:val="17"/>
              </w:rPr>
              <w:t>Non</w:t>
            </w:r>
          </w:p>
        </w:tc>
      </w:tr>
      <w:tr w:rsidR="00AE0893" w14:paraId="5FE812F8"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80" w:type="dxa"/>
              <w:bottom w:w="60" w:type="dxa"/>
              <w:right w:w="80" w:type="dxa"/>
            </w:tcMar>
          </w:tcPr>
          <w:p w14:paraId="562807FF" w14:textId="77777777" w:rsidR="00AE0893" w:rsidRDefault="00000000">
            <w:r>
              <w:rPr>
                <w:b/>
                <w:bCs/>
                <w:sz w:val="17"/>
                <w:szCs w:val="17"/>
              </w:rPr>
              <w:t>Financement vert</w:t>
            </w:r>
          </w:p>
        </w:tc>
        <w:tc>
          <w:tcPr>
            <w:tcW w:w="1640" w:type="dxa"/>
            <w:tcBorders>
              <w:top w:val="single" w:sz="1" w:space="0" w:color="CCCCCC"/>
              <w:left w:val="single" w:sz="1" w:space="0" w:color="CCCCCC"/>
              <w:bottom w:val="single" w:sz="1" w:space="0" w:color="CCCCCC"/>
              <w:right w:val="single" w:sz="1" w:space="0" w:color="CCCCCC"/>
            </w:tcBorders>
            <w:shd w:val="clear" w:color="auto" w:fill="FFFFFF"/>
            <w:tcMar>
              <w:top w:w="60" w:type="dxa"/>
              <w:left w:w="80" w:type="dxa"/>
              <w:bottom w:w="60" w:type="dxa"/>
              <w:right w:w="80" w:type="dxa"/>
            </w:tcMar>
          </w:tcPr>
          <w:p w14:paraId="58C7B686" w14:textId="77777777" w:rsidR="00AE0893" w:rsidRDefault="00000000">
            <w:pPr>
              <w:jc w:val="center"/>
            </w:pPr>
            <w:r>
              <w:rPr>
                <w:color w:val="8B1A1A"/>
                <w:sz w:val="17"/>
                <w:szCs w:val="17"/>
              </w:rPr>
              <w:t>Non</w:t>
            </w:r>
          </w:p>
        </w:tc>
        <w:tc>
          <w:tcPr>
            <w:tcW w:w="1640" w:type="dxa"/>
            <w:tcBorders>
              <w:top w:val="single" w:sz="1" w:space="0" w:color="CCCCCC"/>
              <w:left w:val="single" w:sz="1" w:space="0" w:color="CCCCCC"/>
              <w:bottom w:val="single" w:sz="1" w:space="0" w:color="CCCCCC"/>
              <w:right w:val="single" w:sz="1" w:space="0" w:color="CCCCCC"/>
            </w:tcBorders>
            <w:shd w:val="clear" w:color="auto" w:fill="FFFFFF"/>
            <w:tcMar>
              <w:top w:w="60" w:type="dxa"/>
              <w:left w:w="80" w:type="dxa"/>
              <w:bottom w:w="60" w:type="dxa"/>
              <w:right w:w="80" w:type="dxa"/>
            </w:tcMar>
          </w:tcPr>
          <w:p w14:paraId="00B21A4F" w14:textId="77777777" w:rsidR="00AE0893" w:rsidRDefault="00000000">
            <w:pPr>
              <w:jc w:val="center"/>
            </w:pPr>
            <w:r>
              <w:rPr>
                <w:color w:val="8A6A1A"/>
                <w:sz w:val="17"/>
                <w:szCs w:val="17"/>
              </w:rPr>
              <w:t>1/3</w:t>
            </w:r>
          </w:p>
        </w:tc>
        <w:tc>
          <w:tcPr>
            <w:tcW w:w="1640" w:type="dxa"/>
            <w:tcBorders>
              <w:top w:val="single" w:sz="1" w:space="0" w:color="CCCCCC"/>
              <w:left w:val="single" w:sz="1" w:space="0" w:color="CCCCCC"/>
              <w:bottom w:val="single" w:sz="1" w:space="0" w:color="CCCCCC"/>
              <w:right w:val="single" w:sz="1" w:space="0" w:color="CCCCCC"/>
            </w:tcBorders>
            <w:shd w:val="clear" w:color="auto" w:fill="FFFFFF"/>
            <w:tcMar>
              <w:top w:w="60" w:type="dxa"/>
              <w:left w:w="80" w:type="dxa"/>
              <w:bottom w:w="60" w:type="dxa"/>
              <w:right w:w="80" w:type="dxa"/>
            </w:tcMar>
          </w:tcPr>
          <w:p w14:paraId="4BA80431" w14:textId="77777777" w:rsidR="00AE0893" w:rsidRDefault="00000000">
            <w:pPr>
              <w:jc w:val="center"/>
            </w:pPr>
            <w:r>
              <w:rPr>
                <w:sz w:val="17"/>
                <w:szCs w:val="17"/>
              </w:rPr>
              <w:t>3/4</w:t>
            </w:r>
          </w:p>
        </w:tc>
        <w:tc>
          <w:tcPr>
            <w:tcW w:w="1840" w:type="dxa"/>
            <w:tcBorders>
              <w:top w:val="single" w:sz="1" w:space="0" w:color="CCCCCC"/>
              <w:left w:val="single" w:sz="1" w:space="0" w:color="CCCCCC"/>
              <w:bottom w:val="single" w:sz="1" w:space="0" w:color="CCCCCC"/>
              <w:right w:val="single" w:sz="1" w:space="0" w:color="CCCCCC"/>
            </w:tcBorders>
            <w:shd w:val="clear" w:color="auto" w:fill="FFFFFF"/>
            <w:tcMar>
              <w:top w:w="60" w:type="dxa"/>
              <w:left w:w="80" w:type="dxa"/>
              <w:bottom w:w="60" w:type="dxa"/>
              <w:right w:w="80" w:type="dxa"/>
            </w:tcMar>
          </w:tcPr>
          <w:p w14:paraId="07B5AE30" w14:textId="77777777" w:rsidR="00AE0893" w:rsidRDefault="00000000">
            <w:pPr>
              <w:jc w:val="center"/>
            </w:pPr>
            <w:r>
              <w:rPr>
                <w:color w:val="8B1A1A"/>
                <w:sz w:val="17"/>
                <w:szCs w:val="17"/>
              </w:rPr>
              <w:t>Non</w:t>
            </w:r>
          </w:p>
        </w:tc>
      </w:tr>
      <w:tr w:rsidR="00AE0893" w14:paraId="78E30C81"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80" w:type="dxa"/>
              <w:bottom w:w="60" w:type="dxa"/>
              <w:right w:w="80" w:type="dxa"/>
            </w:tcMar>
          </w:tcPr>
          <w:p w14:paraId="652CA263" w14:textId="77777777" w:rsidR="00AE0893" w:rsidRDefault="00000000">
            <w:r>
              <w:rPr>
                <w:b/>
                <w:bCs/>
                <w:sz w:val="17"/>
                <w:szCs w:val="17"/>
              </w:rPr>
              <w:t>ETP dédiés CSRD</w:t>
            </w:r>
          </w:p>
        </w:tc>
        <w:tc>
          <w:tcPr>
            <w:tcW w:w="1640" w:type="dxa"/>
            <w:tcBorders>
              <w:top w:val="single" w:sz="1" w:space="0" w:color="CCCCCC"/>
              <w:left w:val="single" w:sz="1" w:space="0" w:color="CCCCCC"/>
              <w:bottom w:val="single" w:sz="1" w:space="0" w:color="CCCCCC"/>
              <w:right w:val="single" w:sz="1" w:space="0" w:color="CCCCCC"/>
            </w:tcBorders>
            <w:shd w:val="clear" w:color="auto" w:fill="F5F5F5"/>
            <w:tcMar>
              <w:top w:w="60" w:type="dxa"/>
              <w:left w:w="80" w:type="dxa"/>
              <w:bottom w:w="60" w:type="dxa"/>
              <w:right w:w="80" w:type="dxa"/>
            </w:tcMar>
          </w:tcPr>
          <w:p w14:paraId="7C5E9830" w14:textId="77777777" w:rsidR="00AE0893" w:rsidRDefault="00000000">
            <w:pPr>
              <w:jc w:val="center"/>
            </w:pPr>
            <w:r>
              <w:rPr>
                <w:sz w:val="17"/>
                <w:szCs w:val="17"/>
              </w:rPr>
              <w:t>&lt; 0,5</w:t>
            </w:r>
          </w:p>
        </w:tc>
        <w:tc>
          <w:tcPr>
            <w:tcW w:w="1640" w:type="dxa"/>
            <w:tcBorders>
              <w:top w:val="single" w:sz="1" w:space="0" w:color="CCCCCC"/>
              <w:left w:val="single" w:sz="1" w:space="0" w:color="CCCCCC"/>
              <w:bottom w:val="single" w:sz="1" w:space="0" w:color="CCCCCC"/>
              <w:right w:val="single" w:sz="1" w:space="0" w:color="CCCCCC"/>
            </w:tcBorders>
            <w:shd w:val="clear" w:color="auto" w:fill="F5F5F5"/>
            <w:tcMar>
              <w:top w:w="60" w:type="dxa"/>
              <w:left w:w="80" w:type="dxa"/>
              <w:bottom w:w="60" w:type="dxa"/>
              <w:right w:w="80" w:type="dxa"/>
            </w:tcMar>
          </w:tcPr>
          <w:p w14:paraId="54015CAD" w14:textId="77777777" w:rsidR="00AE0893" w:rsidRDefault="00000000">
            <w:pPr>
              <w:jc w:val="center"/>
            </w:pPr>
            <w:r>
              <w:rPr>
                <w:color w:val="8A6A1A"/>
                <w:sz w:val="17"/>
                <w:szCs w:val="17"/>
              </w:rPr>
              <w:t>0,5 à 1</w:t>
            </w:r>
          </w:p>
        </w:tc>
        <w:tc>
          <w:tcPr>
            <w:tcW w:w="1640" w:type="dxa"/>
            <w:tcBorders>
              <w:top w:val="single" w:sz="1" w:space="0" w:color="CCCCCC"/>
              <w:left w:val="single" w:sz="1" w:space="0" w:color="CCCCCC"/>
              <w:bottom w:val="single" w:sz="1" w:space="0" w:color="CCCCCC"/>
              <w:right w:val="single" w:sz="1" w:space="0" w:color="CCCCCC"/>
            </w:tcBorders>
            <w:shd w:val="clear" w:color="auto" w:fill="F5F5F5"/>
            <w:tcMar>
              <w:top w:w="60" w:type="dxa"/>
              <w:left w:w="80" w:type="dxa"/>
              <w:bottom w:w="60" w:type="dxa"/>
              <w:right w:w="80" w:type="dxa"/>
            </w:tcMar>
          </w:tcPr>
          <w:p w14:paraId="534D40C6" w14:textId="77777777" w:rsidR="00AE0893" w:rsidRDefault="00000000">
            <w:pPr>
              <w:jc w:val="center"/>
            </w:pPr>
            <w:r>
              <w:rPr>
                <w:sz w:val="17"/>
                <w:szCs w:val="17"/>
              </w:rPr>
              <w:t>1 à 3</w:t>
            </w:r>
          </w:p>
        </w:tc>
        <w:tc>
          <w:tcPr>
            <w:tcW w:w="1840" w:type="dxa"/>
            <w:tcBorders>
              <w:top w:val="single" w:sz="1" w:space="0" w:color="CCCCCC"/>
              <w:left w:val="single" w:sz="1" w:space="0" w:color="CCCCCC"/>
              <w:bottom w:val="single" w:sz="1" w:space="0" w:color="CCCCCC"/>
              <w:right w:val="single" w:sz="1" w:space="0" w:color="CCCCCC"/>
            </w:tcBorders>
            <w:shd w:val="clear" w:color="auto" w:fill="F5F5F5"/>
            <w:tcMar>
              <w:top w:w="60" w:type="dxa"/>
              <w:left w:w="80" w:type="dxa"/>
              <w:bottom w:w="60" w:type="dxa"/>
              <w:right w:w="80" w:type="dxa"/>
            </w:tcMar>
          </w:tcPr>
          <w:p w14:paraId="55BAC34C" w14:textId="77777777" w:rsidR="00AE0893" w:rsidRDefault="00000000">
            <w:pPr>
              <w:jc w:val="center"/>
            </w:pPr>
            <w:r>
              <w:rPr>
                <w:sz w:val="17"/>
                <w:szCs w:val="17"/>
              </w:rPr>
              <w:t>&lt; 0,5</w:t>
            </w:r>
          </w:p>
        </w:tc>
      </w:tr>
    </w:tbl>
    <w:p w14:paraId="39639F29" w14:textId="77777777" w:rsidR="00AE0893" w:rsidRDefault="00000000">
      <w:pPr>
        <w:spacing w:before="50" w:after="100"/>
        <w:jc w:val="center"/>
      </w:pPr>
      <w:r>
        <w:rPr>
          <w:i/>
          <w:iCs/>
          <w:color w:val="555555"/>
          <w:sz w:val="17"/>
          <w:szCs w:val="17"/>
        </w:rPr>
        <w:t>Tableau 3 — Variables organisationnelles par profil d’adoption (n=12)</w:t>
      </w:r>
    </w:p>
    <w:p w14:paraId="3DDDA9C2" w14:textId="77777777" w:rsidR="00AE0893" w:rsidRDefault="00AE0893">
      <w:pPr>
        <w:spacing w:before="60" w:after="60"/>
      </w:pPr>
    </w:p>
    <w:p w14:paraId="7BC6445A" w14:textId="77777777" w:rsidR="00AE0893" w:rsidRDefault="00000000">
      <w:r>
        <w:br w:type="page"/>
      </w:r>
    </w:p>
    <w:p w14:paraId="0039187A" w14:textId="77777777" w:rsidR="00AE0893" w:rsidRDefault="00000000">
      <w:pPr>
        <w:pStyle w:val="Titre1"/>
      </w:pPr>
      <w:r>
        <w:lastRenderedPageBreak/>
        <w:t>5. Discussion : modèle de maturité et implications</w:t>
      </w:r>
    </w:p>
    <w:p w14:paraId="296CA377" w14:textId="77777777" w:rsidR="00AE0893" w:rsidRDefault="00000000">
      <w:pPr>
        <w:pStyle w:val="Titre2"/>
      </w:pPr>
      <w:r>
        <w:t>5.1 Un modèle de maturité en cinq niveaux</w:t>
      </w:r>
    </w:p>
    <w:p w14:paraId="47C7C6FA" w14:textId="77777777" w:rsidR="00AE0893" w:rsidRDefault="00000000">
      <w:pPr>
        <w:spacing w:before="140" w:after="140" w:line="380" w:lineRule="auto"/>
        <w:jc w:val="both"/>
      </w:pPr>
      <w:r>
        <w:t>Sur la base des résultats empiriques, nous proposons un modèle de maturité de la double matérialité calibré pour les ETI industrielles. Ce modèle permet à toute entreprise de se situer sur sa trajectoire CSRD et d’identifier ses prochaines étapes prioritaires.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0"/>
        <w:gridCol w:w="1700"/>
        <w:gridCol w:w="2440"/>
        <w:gridCol w:w="2400"/>
        <w:gridCol w:w="2100"/>
      </w:tblGrid>
      <w:tr w:rsidR="00AE0893" w14:paraId="3EAFCDF1" w14:textId="77777777">
        <w:tblPrEx>
          <w:tblCellMar>
            <w:top w:w="0" w:type="dxa"/>
            <w:bottom w:w="0" w:type="dxa"/>
          </w:tblCellMar>
        </w:tblPrEx>
        <w:tc>
          <w:tcPr>
            <w:tcW w:w="720" w:type="dxa"/>
            <w:tcBorders>
              <w:top w:val="single" w:sz="1" w:space="0" w:color="2E5F8A"/>
              <w:left w:val="single" w:sz="1" w:space="0" w:color="2E5F8A"/>
              <w:bottom w:val="single" w:sz="1" w:space="0" w:color="2E5F8A"/>
              <w:right w:val="single" w:sz="1" w:space="0" w:color="2E5F8A"/>
            </w:tcBorders>
            <w:shd w:val="clear" w:color="auto" w:fill="2E5F8A"/>
            <w:tcMar>
              <w:top w:w="70" w:type="dxa"/>
              <w:left w:w="80" w:type="dxa"/>
              <w:bottom w:w="70" w:type="dxa"/>
              <w:right w:w="80" w:type="dxa"/>
            </w:tcMar>
          </w:tcPr>
          <w:p w14:paraId="56293644" w14:textId="77777777" w:rsidR="00AE0893" w:rsidRDefault="00000000">
            <w:r>
              <w:rPr>
                <w:b/>
                <w:bCs/>
                <w:color w:val="FFFFFF"/>
                <w:sz w:val="17"/>
                <w:szCs w:val="17"/>
              </w:rPr>
              <w:t>Niv.</w:t>
            </w:r>
          </w:p>
        </w:tc>
        <w:tc>
          <w:tcPr>
            <w:tcW w:w="1700" w:type="dxa"/>
            <w:tcBorders>
              <w:top w:val="single" w:sz="1" w:space="0" w:color="2E5F8A"/>
              <w:left w:val="single" w:sz="1" w:space="0" w:color="2E5F8A"/>
              <w:bottom w:val="single" w:sz="1" w:space="0" w:color="2E5F8A"/>
              <w:right w:val="single" w:sz="1" w:space="0" w:color="2E5F8A"/>
            </w:tcBorders>
            <w:shd w:val="clear" w:color="auto" w:fill="2E5F8A"/>
            <w:tcMar>
              <w:top w:w="70" w:type="dxa"/>
              <w:left w:w="80" w:type="dxa"/>
              <w:bottom w:w="70" w:type="dxa"/>
              <w:right w:w="80" w:type="dxa"/>
            </w:tcMar>
          </w:tcPr>
          <w:p w14:paraId="0613B98E" w14:textId="77777777" w:rsidR="00AE0893" w:rsidRDefault="00000000">
            <w:r>
              <w:rPr>
                <w:b/>
                <w:bCs/>
                <w:color w:val="FFFFFF"/>
                <w:sz w:val="17"/>
                <w:szCs w:val="17"/>
              </w:rPr>
              <w:t>Nom</w:t>
            </w:r>
          </w:p>
        </w:tc>
        <w:tc>
          <w:tcPr>
            <w:tcW w:w="2440" w:type="dxa"/>
            <w:tcBorders>
              <w:top w:val="single" w:sz="1" w:space="0" w:color="2E5F8A"/>
              <w:left w:val="single" w:sz="1" w:space="0" w:color="2E5F8A"/>
              <w:bottom w:val="single" w:sz="1" w:space="0" w:color="2E5F8A"/>
              <w:right w:val="single" w:sz="1" w:space="0" w:color="2E5F8A"/>
            </w:tcBorders>
            <w:shd w:val="clear" w:color="auto" w:fill="2E5F8A"/>
            <w:tcMar>
              <w:top w:w="70" w:type="dxa"/>
              <w:left w:w="80" w:type="dxa"/>
              <w:bottom w:w="70" w:type="dxa"/>
              <w:right w:w="80" w:type="dxa"/>
            </w:tcMar>
          </w:tcPr>
          <w:p w14:paraId="3DC230D0" w14:textId="77777777" w:rsidR="00AE0893" w:rsidRDefault="00000000">
            <w:r>
              <w:rPr>
                <w:b/>
                <w:bCs/>
                <w:color w:val="FFFFFF"/>
                <w:sz w:val="17"/>
                <w:szCs w:val="17"/>
              </w:rPr>
              <w:t>Ce que fait l’entreprise</w:t>
            </w:r>
          </w:p>
        </w:tc>
        <w:tc>
          <w:tcPr>
            <w:tcW w:w="2400" w:type="dxa"/>
            <w:tcBorders>
              <w:top w:val="single" w:sz="1" w:space="0" w:color="2E5F8A"/>
              <w:left w:val="single" w:sz="1" w:space="0" w:color="2E5F8A"/>
              <w:bottom w:val="single" w:sz="1" w:space="0" w:color="2E5F8A"/>
              <w:right w:val="single" w:sz="1" w:space="0" w:color="2E5F8A"/>
            </w:tcBorders>
            <w:shd w:val="clear" w:color="auto" w:fill="2E5F8A"/>
            <w:tcMar>
              <w:top w:w="70" w:type="dxa"/>
              <w:left w:w="80" w:type="dxa"/>
              <w:bottom w:w="70" w:type="dxa"/>
              <w:right w:w="80" w:type="dxa"/>
            </w:tcMar>
          </w:tcPr>
          <w:p w14:paraId="5DD76631" w14:textId="3A244ED7" w:rsidR="00AE0893" w:rsidRDefault="00000000">
            <w:r>
              <w:rPr>
                <w:b/>
                <w:bCs/>
                <w:color w:val="FFFFFF"/>
                <w:sz w:val="17"/>
                <w:szCs w:val="17"/>
              </w:rPr>
              <w:t>Signes que vous êtes à ce niveau</w:t>
            </w:r>
          </w:p>
        </w:tc>
        <w:tc>
          <w:tcPr>
            <w:tcW w:w="2100" w:type="dxa"/>
            <w:tcBorders>
              <w:top w:val="single" w:sz="1" w:space="0" w:color="2E5F8A"/>
              <w:left w:val="single" w:sz="1" w:space="0" w:color="2E5F8A"/>
              <w:bottom w:val="single" w:sz="1" w:space="0" w:color="2E5F8A"/>
              <w:right w:val="single" w:sz="1" w:space="0" w:color="2E5F8A"/>
            </w:tcBorders>
            <w:shd w:val="clear" w:color="auto" w:fill="2E5F8A"/>
            <w:tcMar>
              <w:top w:w="70" w:type="dxa"/>
              <w:left w:w="80" w:type="dxa"/>
              <w:bottom w:w="70" w:type="dxa"/>
              <w:right w:w="80" w:type="dxa"/>
            </w:tcMar>
          </w:tcPr>
          <w:p w14:paraId="2B783C58" w14:textId="77777777" w:rsidR="00AE0893" w:rsidRDefault="00000000">
            <w:r>
              <w:rPr>
                <w:b/>
                <w:bCs/>
                <w:color w:val="FFFFFF"/>
                <w:sz w:val="17"/>
                <w:szCs w:val="17"/>
              </w:rPr>
              <w:t>Pour passer au niveau suivant</w:t>
            </w:r>
          </w:p>
        </w:tc>
      </w:tr>
      <w:tr w:rsidR="00AE0893" w14:paraId="35BF603F" w14:textId="77777777">
        <w:tblPrEx>
          <w:tblCellMar>
            <w:top w:w="0" w:type="dxa"/>
            <w:bottom w:w="0" w:type="dxa"/>
          </w:tblCellMar>
        </w:tblPrEx>
        <w:tc>
          <w:tcPr>
            <w:tcW w:w="720" w:type="dxa"/>
            <w:tcBorders>
              <w:top w:val="single" w:sz="1" w:space="0" w:color="CCCCCC"/>
              <w:left w:val="single" w:sz="1" w:space="0" w:color="CCCCCC"/>
              <w:bottom w:val="single" w:sz="1" w:space="0" w:color="CCCCCC"/>
              <w:right w:val="single" w:sz="1" w:space="0" w:color="CCCCCC"/>
            </w:tcBorders>
            <w:shd w:val="clear" w:color="auto" w:fill="1A6B5A"/>
            <w:tcMar>
              <w:top w:w="70" w:type="dxa"/>
              <w:left w:w="80" w:type="dxa"/>
              <w:bottom w:w="70" w:type="dxa"/>
              <w:right w:w="80" w:type="dxa"/>
            </w:tcMar>
            <w:vAlign w:val="center"/>
          </w:tcPr>
          <w:p w14:paraId="797C6572" w14:textId="77777777" w:rsidR="00AE0893" w:rsidRDefault="00000000">
            <w:pPr>
              <w:jc w:val="center"/>
            </w:pPr>
            <w:r>
              <w:rPr>
                <w:b/>
                <w:bCs/>
                <w:color w:val="FFFFFF"/>
                <w:sz w:val="19"/>
                <w:szCs w:val="19"/>
              </w:rPr>
              <w:t>N1</w:t>
            </w:r>
          </w:p>
        </w:tc>
        <w:tc>
          <w:tcPr>
            <w:tcW w:w="17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80" w:type="dxa"/>
              <w:bottom w:w="70" w:type="dxa"/>
              <w:right w:w="80" w:type="dxa"/>
            </w:tcMar>
          </w:tcPr>
          <w:p w14:paraId="344CD0E2" w14:textId="77777777" w:rsidR="00AE0893" w:rsidRDefault="00000000">
            <w:r>
              <w:rPr>
                <w:b/>
                <w:bCs/>
                <w:color w:val="1A2D4A"/>
                <w:sz w:val="17"/>
                <w:szCs w:val="17"/>
              </w:rPr>
              <w:t>Ignorant</w:t>
            </w:r>
          </w:p>
        </w:tc>
        <w:tc>
          <w:tcPr>
            <w:tcW w:w="2440" w:type="dxa"/>
            <w:tcBorders>
              <w:top w:val="single" w:sz="1" w:space="0" w:color="CCCCCC"/>
              <w:left w:val="single" w:sz="1" w:space="0" w:color="CCCCCC"/>
              <w:bottom w:val="single" w:sz="1" w:space="0" w:color="CCCCCC"/>
              <w:right w:val="single" w:sz="1" w:space="0" w:color="CCCCCC"/>
            </w:tcBorders>
            <w:shd w:val="clear" w:color="auto" w:fill="FFFFFF"/>
            <w:tcMar>
              <w:top w:w="70" w:type="dxa"/>
              <w:left w:w="80" w:type="dxa"/>
              <w:bottom w:w="70" w:type="dxa"/>
              <w:right w:w="80" w:type="dxa"/>
            </w:tcMar>
          </w:tcPr>
          <w:p w14:paraId="01F63B5B" w14:textId="77777777" w:rsidR="00AE0893" w:rsidRDefault="00000000">
            <w:r>
              <w:rPr>
                <w:sz w:val="17"/>
                <w:szCs w:val="17"/>
              </w:rPr>
              <w:t>Aucune connaissance de la CSRD. Pas de système de management environnemental.</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80" w:type="dxa"/>
              <w:bottom w:w="70" w:type="dxa"/>
              <w:right w:w="80" w:type="dxa"/>
            </w:tcMar>
          </w:tcPr>
          <w:p w14:paraId="5E4FCFF3" w14:textId="77777777" w:rsidR="00AE0893" w:rsidRDefault="00000000">
            <w:r>
              <w:rPr>
                <w:i/>
                <w:iCs/>
                <w:color w:val="555555"/>
                <w:sz w:val="17"/>
                <w:szCs w:val="17"/>
              </w:rPr>
              <w:t>Zero indicateur enviro., aucune certification, personne ne connaît le mot CSRD en interne.</w:t>
            </w:r>
          </w:p>
        </w:tc>
        <w:tc>
          <w:tcPr>
            <w:tcW w:w="21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80" w:type="dxa"/>
              <w:bottom w:w="70" w:type="dxa"/>
              <w:right w:w="80" w:type="dxa"/>
            </w:tcMar>
          </w:tcPr>
          <w:p w14:paraId="36E97878" w14:textId="77777777" w:rsidR="00AE0893" w:rsidRDefault="00000000">
            <w:r>
              <w:rPr>
                <w:color w:val="1A6B5A"/>
                <w:sz w:val="17"/>
                <w:szCs w:val="17"/>
              </w:rPr>
              <w:t>Former les dirigeants, faire un diagnostic initial, désigner un référent CSRD.</w:t>
            </w:r>
          </w:p>
        </w:tc>
      </w:tr>
      <w:tr w:rsidR="00AE0893" w14:paraId="24D5CCE7" w14:textId="77777777">
        <w:tblPrEx>
          <w:tblCellMar>
            <w:top w:w="0" w:type="dxa"/>
            <w:bottom w:w="0" w:type="dxa"/>
          </w:tblCellMar>
        </w:tblPrEx>
        <w:tc>
          <w:tcPr>
            <w:tcW w:w="720" w:type="dxa"/>
            <w:tcBorders>
              <w:top w:val="single" w:sz="1" w:space="0" w:color="CCCCCC"/>
              <w:left w:val="single" w:sz="1" w:space="0" w:color="CCCCCC"/>
              <w:bottom w:val="single" w:sz="1" w:space="0" w:color="CCCCCC"/>
              <w:right w:val="single" w:sz="1" w:space="0" w:color="CCCCCC"/>
            </w:tcBorders>
            <w:shd w:val="clear" w:color="auto" w:fill="1A5A4A"/>
            <w:tcMar>
              <w:top w:w="70" w:type="dxa"/>
              <w:left w:w="80" w:type="dxa"/>
              <w:bottom w:w="70" w:type="dxa"/>
              <w:right w:w="80" w:type="dxa"/>
            </w:tcMar>
            <w:vAlign w:val="center"/>
          </w:tcPr>
          <w:p w14:paraId="09DC23C3" w14:textId="77777777" w:rsidR="00AE0893" w:rsidRDefault="00000000">
            <w:pPr>
              <w:jc w:val="center"/>
            </w:pPr>
            <w:r>
              <w:rPr>
                <w:b/>
                <w:bCs/>
                <w:color w:val="FFFFFF"/>
                <w:sz w:val="19"/>
                <w:szCs w:val="19"/>
              </w:rPr>
              <w:t>N2</w:t>
            </w:r>
          </w:p>
        </w:tc>
        <w:tc>
          <w:tcPr>
            <w:tcW w:w="1700" w:type="dxa"/>
            <w:tcBorders>
              <w:top w:val="single" w:sz="1" w:space="0" w:color="CCCCCC"/>
              <w:left w:val="single" w:sz="1" w:space="0" w:color="CCCCCC"/>
              <w:bottom w:val="single" w:sz="1" w:space="0" w:color="CCCCCC"/>
              <w:right w:val="single" w:sz="1" w:space="0" w:color="CCCCCC"/>
            </w:tcBorders>
            <w:shd w:val="clear" w:color="auto" w:fill="F5F5F5"/>
            <w:tcMar>
              <w:top w:w="70" w:type="dxa"/>
              <w:left w:w="80" w:type="dxa"/>
              <w:bottom w:w="70" w:type="dxa"/>
              <w:right w:w="80" w:type="dxa"/>
            </w:tcMar>
          </w:tcPr>
          <w:p w14:paraId="5D549F45" w14:textId="77777777" w:rsidR="00AE0893" w:rsidRDefault="00000000">
            <w:r>
              <w:rPr>
                <w:b/>
                <w:bCs/>
                <w:color w:val="1A2D4A"/>
                <w:sz w:val="17"/>
                <w:szCs w:val="17"/>
              </w:rPr>
              <w:t>Conscient</w:t>
            </w:r>
          </w:p>
        </w:tc>
        <w:tc>
          <w:tcPr>
            <w:tcW w:w="2440" w:type="dxa"/>
            <w:tcBorders>
              <w:top w:val="single" w:sz="1" w:space="0" w:color="CCCCCC"/>
              <w:left w:val="single" w:sz="1" w:space="0" w:color="CCCCCC"/>
              <w:bottom w:val="single" w:sz="1" w:space="0" w:color="CCCCCC"/>
              <w:right w:val="single" w:sz="1" w:space="0" w:color="CCCCCC"/>
            </w:tcBorders>
            <w:shd w:val="clear" w:color="auto" w:fill="F5F5F5"/>
            <w:tcMar>
              <w:top w:w="70" w:type="dxa"/>
              <w:left w:w="80" w:type="dxa"/>
              <w:bottom w:w="70" w:type="dxa"/>
              <w:right w:w="80" w:type="dxa"/>
            </w:tcMar>
          </w:tcPr>
          <w:p w14:paraId="126EF316" w14:textId="77777777" w:rsidR="00AE0893" w:rsidRDefault="00000000">
            <w:r>
              <w:rPr>
                <w:sz w:val="17"/>
                <w:szCs w:val="17"/>
              </w:rPr>
              <w:t>On connait la CSRD. On a essayé de faire une analyse de matérialité, sous-traitée à un consultant.</w:t>
            </w:r>
          </w:p>
        </w:tc>
        <w:tc>
          <w:tcPr>
            <w:tcW w:w="2400" w:type="dxa"/>
            <w:tcBorders>
              <w:top w:val="single" w:sz="1" w:space="0" w:color="CCCCCC"/>
              <w:left w:val="single" w:sz="1" w:space="0" w:color="CCCCCC"/>
              <w:bottom w:val="single" w:sz="1" w:space="0" w:color="CCCCCC"/>
              <w:right w:val="single" w:sz="1" w:space="0" w:color="CCCCCC"/>
            </w:tcBorders>
            <w:shd w:val="clear" w:color="auto" w:fill="F5F5F5"/>
            <w:tcMar>
              <w:top w:w="70" w:type="dxa"/>
              <w:left w:w="80" w:type="dxa"/>
              <w:bottom w:w="70" w:type="dxa"/>
              <w:right w:w="80" w:type="dxa"/>
            </w:tcMar>
          </w:tcPr>
          <w:p w14:paraId="45703E60" w14:textId="77777777" w:rsidR="00AE0893" w:rsidRDefault="00000000">
            <w:r>
              <w:rPr>
                <w:i/>
                <w:iCs/>
                <w:color w:val="555555"/>
                <w:sz w:val="17"/>
                <w:szCs w:val="17"/>
              </w:rPr>
              <w:t>Rapport DPEF existe mais creux, matrice de matérialité produite sans être utilisée.</w:t>
            </w:r>
          </w:p>
        </w:tc>
        <w:tc>
          <w:tcPr>
            <w:tcW w:w="2100" w:type="dxa"/>
            <w:tcBorders>
              <w:top w:val="single" w:sz="1" w:space="0" w:color="CCCCCC"/>
              <w:left w:val="single" w:sz="1" w:space="0" w:color="CCCCCC"/>
              <w:bottom w:val="single" w:sz="1" w:space="0" w:color="CCCCCC"/>
              <w:right w:val="single" w:sz="1" w:space="0" w:color="CCCCCC"/>
            </w:tcBorders>
            <w:shd w:val="clear" w:color="auto" w:fill="F5F5F5"/>
            <w:tcMar>
              <w:top w:w="70" w:type="dxa"/>
              <w:left w:w="80" w:type="dxa"/>
              <w:bottom w:w="70" w:type="dxa"/>
              <w:right w:w="80" w:type="dxa"/>
            </w:tcMar>
          </w:tcPr>
          <w:p w14:paraId="7E15C93B" w14:textId="52F0CC48" w:rsidR="00AE0893" w:rsidRDefault="00000000">
            <w:r>
              <w:rPr>
                <w:color w:val="1A6B5A"/>
                <w:sz w:val="17"/>
                <w:szCs w:val="17"/>
              </w:rPr>
              <w:t>Internaliser la démarche, former l’équipe interne, initier ISO 14001.</w:t>
            </w:r>
          </w:p>
        </w:tc>
      </w:tr>
      <w:tr w:rsidR="00AE0893" w14:paraId="4C5010AD" w14:textId="77777777">
        <w:tblPrEx>
          <w:tblCellMar>
            <w:top w:w="0" w:type="dxa"/>
            <w:bottom w:w="0" w:type="dxa"/>
          </w:tblCellMar>
        </w:tblPrEx>
        <w:tc>
          <w:tcPr>
            <w:tcW w:w="720" w:type="dxa"/>
            <w:tcBorders>
              <w:top w:val="single" w:sz="1" w:space="0" w:color="CCCCCC"/>
              <w:left w:val="single" w:sz="1" w:space="0" w:color="CCCCCC"/>
              <w:bottom w:val="single" w:sz="1" w:space="0" w:color="CCCCCC"/>
              <w:right w:val="single" w:sz="1" w:space="0" w:color="CCCCCC"/>
            </w:tcBorders>
            <w:shd w:val="clear" w:color="auto" w:fill="1A4A6B"/>
            <w:tcMar>
              <w:top w:w="70" w:type="dxa"/>
              <w:left w:w="80" w:type="dxa"/>
              <w:bottom w:w="70" w:type="dxa"/>
              <w:right w:w="80" w:type="dxa"/>
            </w:tcMar>
            <w:vAlign w:val="center"/>
          </w:tcPr>
          <w:p w14:paraId="3922861F" w14:textId="77777777" w:rsidR="00AE0893" w:rsidRDefault="00000000">
            <w:pPr>
              <w:jc w:val="center"/>
            </w:pPr>
            <w:r>
              <w:rPr>
                <w:b/>
                <w:bCs/>
                <w:color w:val="FFFFFF"/>
                <w:sz w:val="19"/>
                <w:szCs w:val="19"/>
              </w:rPr>
              <w:t>N3</w:t>
            </w:r>
          </w:p>
        </w:tc>
        <w:tc>
          <w:tcPr>
            <w:tcW w:w="17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80" w:type="dxa"/>
              <w:bottom w:w="70" w:type="dxa"/>
              <w:right w:w="80" w:type="dxa"/>
            </w:tcMar>
          </w:tcPr>
          <w:p w14:paraId="7C8022AF" w14:textId="77777777" w:rsidR="00AE0893" w:rsidRDefault="00000000">
            <w:r>
              <w:rPr>
                <w:b/>
                <w:bCs/>
                <w:color w:val="1A2D4A"/>
                <w:sz w:val="17"/>
                <w:szCs w:val="17"/>
              </w:rPr>
              <w:t>Opérationnel</w:t>
            </w:r>
          </w:p>
        </w:tc>
        <w:tc>
          <w:tcPr>
            <w:tcW w:w="2440" w:type="dxa"/>
            <w:tcBorders>
              <w:top w:val="single" w:sz="1" w:space="0" w:color="CCCCCC"/>
              <w:left w:val="single" w:sz="1" w:space="0" w:color="CCCCCC"/>
              <w:bottom w:val="single" w:sz="1" w:space="0" w:color="CCCCCC"/>
              <w:right w:val="single" w:sz="1" w:space="0" w:color="CCCCCC"/>
            </w:tcBorders>
            <w:shd w:val="clear" w:color="auto" w:fill="FFFFFF"/>
            <w:tcMar>
              <w:top w:w="70" w:type="dxa"/>
              <w:left w:w="80" w:type="dxa"/>
              <w:bottom w:w="70" w:type="dxa"/>
              <w:right w:w="80" w:type="dxa"/>
            </w:tcMar>
          </w:tcPr>
          <w:p w14:paraId="5ABF8218" w14:textId="77777777" w:rsidR="00AE0893" w:rsidRDefault="00000000">
            <w:r>
              <w:rPr>
                <w:sz w:val="17"/>
                <w:szCs w:val="17"/>
              </w:rPr>
              <w:t>Analyse de matérialité réalisée en interne. KPI ESRS définis et suivis. OTI mandaté.</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80" w:type="dxa"/>
              <w:bottom w:w="70" w:type="dxa"/>
              <w:right w:w="80" w:type="dxa"/>
            </w:tcMar>
          </w:tcPr>
          <w:p w14:paraId="7FEEA98F" w14:textId="77777777" w:rsidR="00AE0893" w:rsidRDefault="00000000">
            <w:r>
              <w:rPr>
                <w:i/>
                <w:iCs/>
                <w:color w:val="555555"/>
                <w:sz w:val="17"/>
                <w:szCs w:val="17"/>
              </w:rPr>
              <w:t>Comité RSE actif, premier rapport CSRD produit et vérifié, tableau de bord enviro.</w:t>
            </w:r>
          </w:p>
        </w:tc>
        <w:tc>
          <w:tcPr>
            <w:tcW w:w="21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80" w:type="dxa"/>
              <w:bottom w:w="70" w:type="dxa"/>
              <w:right w:w="80" w:type="dxa"/>
            </w:tcMar>
          </w:tcPr>
          <w:p w14:paraId="01EBC0CC" w14:textId="77777777" w:rsidR="00AE0893" w:rsidRDefault="00000000">
            <w:r>
              <w:rPr>
                <w:color w:val="1A6B5A"/>
                <w:sz w:val="17"/>
                <w:szCs w:val="17"/>
              </w:rPr>
              <w:t>Quantifier les risques financiers climatiques, connecter aux processus stratégiques.</w:t>
            </w:r>
          </w:p>
        </w:tc>
      </w:tr>
      <w:tr w:rsidR="00AE0893" w14:paraId="2DFCD109" w14:textId="77777777">
        <w:tblPrEx>
          <w:tblCellMar>
            <w:top w:w="0" w:type="dxa"/>
            <w:bottom w:w="0" w:type="dxa"/>
          </w:tblCellMar>
        </w:tblPrEx>
        <w:tc>
          <w:tcPr>
            <w:tcW w:w="720" w:type="dxa"/>
            <w:tcBorders>
              <w:top w:val="single" w:sz="1" w:space="0" w:color="CCCCCC"/>
              <w:left w:val="single" w:sz="1" w:space="0" w:color="CCCCCC"/>
              <w:bottom w:val="single" w:sz="1" w:space="0" w:color="CCCCCC"/>
              <w:right w:val="single" w:sz="1" w:space="0" w:color="CCCCCC"/>
            </w:tcBorders>
            <w:shd w:val="clear" w:color="auto" w:fill="1A2D4A"/>
            <w:tcMar>
              <w:top w:w="70" w:type="dxa"/>
              <w:left w:w="80" w:type="dxa"/>
              <w:bottom w:w="70" w:type="dxa"/>
              <w:right w:w="80" w:type="dxa"/>
            </w:tcMar>
            <w:vAlign w:val="center"/>
          </w:tcPr>
          <w:p w14:paraId="369C8A07" w14:textId="77777777" w:rsidR="00AE0893" w:rsidRDefault="00000000">
            <w:pPr>
              <w:jc w:val="center"/>
            </w:pPr>
            <w:r>
              <w:rPr>
                <w:b/>
                <w:bCs/>
                <w:color w:val="FFFFFF"/>
                <w:sz w:val="19"/>
                <w:szCs w:val="19"/>
              </w:rPr>
              <w:t>N4</w:t>
            </w:r>
          </w:p>
        </w:tc>
        <w:tc>
          <w:tcPr>
            <w:tcW w:w="1700" w:type="dxa"/>
            <w:tcBorders>
              <w:top w:val="single" w:sz="1" w:space="0" w:color="CCCCCC"/>
              <w:left w:val="single" w:sz="1" w:space="0" w:color="CCCCCC"/>
              <w:bottom w:val="single" w:sz="1" w:space="0" w:color="CCCCCC"/>
              <w:right w:val="single" w:sz="1" w:space="0" w:color="CCCCCC"/>
            </w:tcBorders>
            <w:shd w:val="clear" w:color="auto" w:fill="F5F5F5"/>
            <w:tcMar>
              <w:top w:w="70" w:type="dxa"/>
              <w:left w:w="80" w:type="dxa"/>
              <w:bottom w:w="70" w:type="dxa"/>
              <w:right w:w="80" w:type="dxa"/>
            </w:tcMar>
          </w:tcPr>
          <w:p w14:paraId="2E67FC78" w14:textId="77777777" w:rsidR="00AE0893" w:rsidRDefault="00000000">
            <w:r>
              <w:rPr>
                <w:b/>
                <w:bCs/>
                <w:color w:val="1A2D4A"/>
                <w:sz w:val="17"/>
                <w:szCs w:val="17"/>
              </w:rPr>
              <w:t>Stratégique</w:t>
            </w:r>
          </w:p>
        </w:tc>
        <w:tc>
          <w:tcPr>
            <w:tcW w:w="2440" w:type="dxa"/>
            <w:tcBorders>
              <w:top w:val="single" w:sz="1" w:space="0" w:color="CCCCCC"/>
              <w:left w:val="single" w:sz="1" w:space="0" w:color="CCCCCC"/>
              <w:bottom w:val="single" w:sz="1" w:space="0" w:color="CCCCCC"/>
              <w:right w:val="single" w:sz="1" w:space="0" w:color="CCCCCC"/>
            </w:tcBorders>
            <w:shd w:val="clear" w:color="auto" w:fill="F5F5F5"/>
            <w:tcMar>
              <w:top w:w="70" w:type="dxa"/>
              <w:left w:w="80" w:type="dxa"/>
              <w:bottom w:w="70" w:type="dxa"/>
              <w:right w:w="80" w:type="dxa"/>
            </w:tcMar>
          </w:tcPr>
          <w:p w14:paraId="664D5DD6" w14:textId="77777777" w:rsidR="00AE0893" w:rsidRDefault="00000000">
            <w:r>
              <w:rPr>
                <w:sz w:val="17"/>
                <w:szCs w:val="17"/>
              </w:rPr>
              <w:t>Double matérialité intégrée dans le plan stratégique. Risques chiffrés. Parties prenantes engagées.</w:t>
            </w:r>
          </w:p>
        </w:tc>
        <w:tc>
          <w:tcPr>
            <w:tcW w:w="2400" w:type="dxa"/>
            <w:tcBorders>
              <w:top w:val="single" w:sz="1" w:space="0" w:color="CCCCCC"/>
              <w:left w:val="single" w:sz="1" w:space="0" w:color="CCCCCC"/>
              <w:bottom w:val="single" w:sz="1" w:space="0" w:color="CCCCCC"/>
              <w:right w:val="single" w:sz="1" w:space="0" w:color="CCCCCC"/>
            </w:tcBorders>
            <w:shd w:val="clear" w:color="auto" w:fill="F5F5F5"/>
            <w:tcMar>
              <w:top w:w="70" w:type="dxa"/>
              <w:left w:w="80" w:type="dxa"/>
              <w:bottom w:w="70" w:type="dxa"/>
              <w:right w:w="80" w:type="dxa"/>
            </w:tcMar>
          </w:tcPr>
          <w:p w14:paraId="4115B734" w14:textId="0F5C832A" w:rsidR="00AE0893" w:rsidRDefault="00000000">
            <w:r>
              <w:rPr>
                <w:i/>
                <w:iCs/>
                <w:color w:val="555555"/>
                <w:sz w:val="17"/>
                <w:szCs w:val="17"/>
              </w:rPr>
              <w:t>CSRD intégrée aux indicateurs COMEX, dialogue investisseurs, négociation prêts à impact.</w:t>
            </w:r>
          </w:p>
        </w:tc>
        <w:tc>
          <w:tcPr>
            <w:tcW w:w="2100" w:type="dxa"/>
            <w:tcBorders>
              <w:top w:val="single" w:sz="1" w:space="0" w:color="CCCCCC"/>
              <w:left w:val="single" w:sz="1" w:space="0" w:color="CCCCCC"/>
              <w:bottom w:val="single" w:sz="1" w:space="0" w:color="CCCCCC"/>
              <w:right w:val="single" w:sz="1" w:space="0" w:color="CCCCCC"/>
            </w:tcBorders>
            <w:shd w:val="clear" w:color="auto" w:fill="F5F5F5"/>
            <w:tcMar>
              <w:top w:w="70" w:type="dxa"/>
              <w:left w:w="80" w:type="dxa"/>
              <w:bottom w:w="70" w:type="dxa"/>
              <w:right w:w="80" w:type="dxa"/>
            </w:tcMar>
          </w:tcPr>
          <w:p w14:paraId="79222545" w14:textId="77777777" w:rsidR="00AE0893" w:rsidRDefault="00000000">
            <w:r>
              <w:rPr>
                <w:color w:val="1A6B5A"/>
                <w:sz w:val="17"/>
                <w:szCs w:val="17"/>
              </w:rPr>
              <w:t>Publier plan de transition, targets SBTi, Green Bond, accompagner ses fournisseurs.</w:t>
            </w:r>
          </w:p>
        </w:tc>
      </w:tr>
      <w:tr w:rsidR="00AE0893" w14:paraId="548F790E" w14:textId="77777777">
        <w:tblPrEx>
          <w:tblCellMar>
            <w:top w:w="0" w:type="dxa"/>
            <w:bottom w:w="0" w:type="dxa"/>
          </w:tblCellMar>
        </w:tblPrEx>
        <w:tc>
          <w:tcPr>
            <w:tcW w:w="720" w:type="dxa"/>
            <w:tcBorders>
              <w:top w:val="single" w:sz="1" w:space="0" w:color="CCCCCC"/>
              <w:left w:val="single" w:sz="1" w:space="0" w:color="CCCCCC"/>
              <w:bottom w:val="single" w:sz="1" w:space="0" w:color="CCCCCC"/>
              <w:right w:val="single" w:sz="1" w:space="0" w:color="CCCCCC"/>
            </w:tcBorders>
            <w:shd w:val="clear" w:color="auto" w:fill="0D1A2E"/>
            <w:tcMar>
              <w:top w:w="70" w:type="dxa"/>
              <w:left w:w="80" w:type="dxa"/>
              <w:bottom w:w="70" w:type="dxa"/>
              <w:right w:w="80" w:type="dxa"/>
            </w:tcMar>
            <w:vAlign w:val="center"/>
          </w:tcPr>
          <w:p w14:paraId="56EC219B" w14:textId="77777777" w:rsidR="00AE0893" w:rsidRDefault="00000000">
            <w:pPr>
              <w:jc w:val="center"/>
            </w:pPr>
            <w:r>
              <w:rPr>
                <w:b/>
                <w:bCs/>
                <w:color w:val="FFFFFF"/>
                <w:sz w:val="19"/>
                <w:szCs w:val="19"/>
              </w:rPr>
              <w:t>N5</w:t>
            </w:r>
          </w:p>
        </w:tc>
        <w:tc>
          <w:tcPr>
            <w:tcW w:w="17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80" w:type="dxa"/>
              <w:bottom w:w="70" w:type="dxa"/>
              <w:right w:w="80" w:type="dxa"/>
            </w:tcMar>
          </w:tcPr>
          <w:p w14:paraId="3BD22142" w14:textId="77777777" w:rsidR="00AE0893" w:rsidRDefault="00000000">
            <w:r>
              <w:rPr>
                <w:b/>
                <w:bCs/>
                <w:color w:val="1A2D4A"/>
                <w:sz w:val="17"/>
                <w:szCs w:val="17"/>
              </w:rPr>
              <w:t>Pionnier</w:t>
            </w:r>
          </w:p>
        </w:tc>
        <w:tc>
          <w:tcPr>
            <w:tcW w:w="2440" w:type="dxa"/>
            <w:tcBorders>
              <w:top w:val="single" w:sz="1" w:space="0" w:color="CCCCCC"/>
              <w:left w:val="single" w:sz="1" w:space="0" w:color="CCCCCC"/>
              <w:bottom w:val="single" w:sz="1" w:space="0" w:color="CCCCCC"/>
              <w:right w:val="single" w:sz="1" w:space="0" w:color="CCCCCC"/>
            </w:tcBorders>
            <w:shd w:val="clear" w:color="auto" w:fill="FFFFFF"/>
            <w:tcMar>
              <w:top w:w="70" w:type="dxa"/>
              <w:left w:w="80" w:type="dxa"/>
              <w:bottom w:w="70" w:type="dxa"/>
              <w:right w:w="80" w:type="dxa"/>
            </w:tcMar>
          </w:tcPr>
          <w:p w14:paraId="0752B4AD" w14:textId="77777777" w:rsidR="00AE0893" w:rsidRDefault="00000000">
            <w:r>
              <w:rPr>
                <w:sz w:val="17"/>
                <w:szCs w:val="17"/>
              </w:rPr>
              <w:t>L’entreprise contribue à l’évolution des standards, publie ses pratiques, inspire ses pairs.</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80" w:type="dxa"/>
              <w:bottom w:w="70" w:type="dxa"/>
              <w:right w:w="80" w:type="dxa"/>
            </w:tcMar>
          </w:tcPr>
          <w:p w14:paraId="0AEA0035" w14:textId="77777777" w:rsidR="00AE0893" w:rsidRDefault="00000000">
            <w:r>
              <w:rPr>
                <w:i/>
                <w:iCs/>
                <w:color w:val="555555"/>
                <w:sz w:val="17"/>
                <w:szCs w:val="17"/>
              </w:rPr>
              <w:t>Publication académique, participation EFRAG ou ISO/TC207, benchmark sectoriel public.</w:t>
            </w:r>
          </w:p>
        </w:tc>
        <w:tc>
          <w:tcPr>
            <w:tcW w:w="21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80" w:type="dxa"/>
              <w:bottom w:w="70" w:type="dxa"/>
              <w:right w:w="80" w:type="dxa"/>
            </w:tcMar>
          </w:tcPr>
          <w:p w14:paraId="4E169CF0" w14:textId="77777777" w:rsidR="00AE0893" w:rsidRDefault="00000000">
            <w:r>
              <w:rPr>
                <w:color w:val="1A6B5A"/>
                <w:sz w:val="17"/>
                <w:szCs w:val="17"/>
              </w:rPr>
              <w:t>Diffuser les pratiques, co-construire les normes, former les PME de sa chaîne de valeur.</w:t>
            </w:r>
          </w:p>
        </w:tc>
      </w:tr>
    </w:tbl>
    <w:p w14:paraId="1F23EE12" w14:textId="77777777" w:rsidR="00AE0893" w:rsidRDefault="00000000">
      <w:pPr>
        <w:spacing w:before="50" w:after="120"/>
        <w:jc w:val="center"/>
      </w:pPr>
      <w:r>
        <w:rPr>
          <w:i/>
          <w:iCs/>
          <w:color w:val="555555"/>
          <w:sz w:val="17"/>
          <w:szCs w:val="17"/>
        </w:rPr>
        <w:t>Tableau 4 — Modèle de maturité de la double matérialité pour ETI industrielles (Bouzaroura, 2024)</w:t>
      </w:r>
    </w:p>
    <w:p w14:paraId="4070F62A" w14:textId="77777777" w:rsidR="00AE0893" w:rsidRDefault="00AE0893">
      <w:pPr>
        <w:spacing w:before="60" w:after="60"/>
      </w:pPr>
    </w:p>
    <w:p w14:paraId="48A089FD" w14:textId="77777777" w:rsidR="00AE0893" w:rsidRDefault="00000000">
      <w:pPr>
        <w:pStyle w:val="Titre2"/>
      </w:pPr>
      <w:r>
        <w:t>5.2 Implications pour les praticiens</w:t>
      </w:r>
    </w:p>
    <w:p w14:paraId="51DA9BDB" w14:textId="5D64D039" w:rsidR="00AE0893" w:rsidRDefault="00000000">
      <w:pPr>
        <w:spacing w:before="140" w:after="140" w:line="380" w:lineRule="auto"/>
        <w:jc w:val="both"/>
      </w:pPr>
      <w:r>
        <w:t>Pour une ETI qui n'est pas encore engagée, notre modèle suggère une séquence prioritaire. Plutôt que de prescrire systématiquement la certification ISO 14001, nous recommandons d'abord de clarifier la gouvernance : qui, au sein du conseil ou du COMEX, est responsable de la durabilité ? Former les membres du COMEX à la double matérialité avant de confier l'exercice à une équipe opérationnelle. Internaliser progressivement l'analyse de matérialité plutôt que de l'externaliser totalement. Connecter les résultats au plan stratégique.</w:t>
      </w:r>
    </w:p>
    <w:p w14:paraId="4A99FE72" w14:textId="1F651B78" w:rsidR="00AE0893" w:rsidRDefault="00000000">
      <w:pPr>
        <w:spacing w:before="140" w:after="140" w:line="380" w:lineRule="auto"/>
        <w:jc w:val="both"/>
      </w:pPr>
      <w:r>
        <w:t>Pour les normalisateurs et régulateurs européens, nos données suggèrent — sous réserve de notre positionnement institutionnel — qu'une reconnaissance partielle des KPI ISO 14031 comme point de départ des indicateurs ESRS pourrait réduire la charge administrative pour les ETI déjà certifiées. Cette proposition mériterait une évaluation indépendante avant toute recommandation normative formelle.</w:t>
      </w:r>
    </w:p>
    <w:p w14:paraId="10C325BF" w14:textId="77777777" w:rsidR="00AE0893" w:rsidRDefault="00AE0893">
      <w:pPr>
        <w:spacing w:before="60" w:after="60"/>
      </w:pPr>
    </w:p>
    <w:p w14:paraId="298BCB0F" w14:textId="77777777" w:rsidR="00AE0893" w:rsidRDefault="00000000">
      <w:r>
        <w:br w:type="page"/>
      </w:r>
    </w:p>
    <w:p w14:paraId="72F9BA8A" w14:textId="77777777" w:rsidR="00AE0893" w:rsidRDefault="00000000">
      <w:pPr>
        <w:pStyle w:val="Titre1"/>
      </w:pPr>
      <w:r>
        <w:lastRenderedPageBreak/>
        <w:t>6. Conclusion</w:t>
      </w:r>
    </w:p>
    <w:p w14:paraId="717633E5" w14:textId="77777777" w:rsidR="00AE0893" w:rsidRDefault="00000000">
      <w:pPr>
        <w:spacing w:before="140" w:after="140" w:line="380" w:lineRule="auto"/>
        <w:jc w:val="both"/>
      </w:pPr>
      <w:r>
        <w:t>Cet article est parti d’un constat simple : la directive NFRD avait échoué. Pas parce que le principe était mauvais, mais parce que sans normes communes, sans vérification et sans sanctions crédibles, elle permettait aux entreprises de dire ce qu’elles voulaient, comme elles voulaient, sans que personne puisse vraiment vérifier. La CSRD répare ces défauts fondamentaux. Elle impose des règles communes (ESRS), une vérification indépendante (OTI), un périmètre élargi (50 000 entreprises), et surtout un principe inédit de double matérialité qui transforme le reporting d’un exercice de communication en un outil de pilotage.</w:t>
      </w:r>
    </w:p>
    <w:p w14:paraId="5EB1CA75" w14:textId="5273BB9D" w:rsidR="00AE0893" w:rsidRDefault="00000000">
      <w:pPr>
        <w:spacing w:before="140" w:after="140" w:line="380" w:lineRule="auto"/>
        <w:jc w:val="both"/>
      </w:pPr>
      <w:r>
        <w:t>Nos douze entretiens avec des ETI industrielles françaises montrent que cette transformation est en cours mais de façon très inégale. Certaines entreprises ont compris que la CSRD était une opportunité : pour accéder au financement vert, sécuriser leurs contrats avec leurs grands clients, attirer des talents et anticiper les prochaines vagues réglementaires. D’autres la vivent encore comme une contrainte administrative.</w:t>
      </w:r>
    </w:p>
    <w:p w14:paraId="65B0C47E" w14:textId="0F1C66DD" w:rsidR="00AE0893" w:rsidRDefault="00000000">
      <w:pPr>
        <w:spacing w:before="140" w:after="140" w:line="380" w:lineRule="auto"/>
        <w:jc w:val="both"/>
      </w:pPr>
      <w:r>
        <w:t>La variable la plus associée au profil intégrateur, dans notre échantillon de douze cas, est la certification ISO 14001 ancienne. Les entreprises certifiées depuis plus de cinq ans disposent souvent déjà de données environnementales, d'une culture de la mesure et de processus de gouvernance qui réduisent le coût d'entrée dans la CSRD. Cette observation mériterait confirmation sur un échantillon plus large — d'autres voies vers la conformité CSRD existent, que notre dispositif n'explore pas suffisamment.</w:t>
      </w:r>
    </w:p>
    <w:p w14:paraId="496EF562" w14:textId="362A109E" w:rsidR="00AE0893" w:rsidRDefault="00000000">
      <w:pPr>
        <w:spacing w:before="140" w:after="140" w:line="380" w:lineRule="auto"/>
        <w:jc w:val="both"/>
      </w:pPr>
      <w:r>
        <w:t>L’effet boule de neige est déjà en marche. Les grandes entreprises soumises à la CSRD depuis 2024 commencent à interroger leurs fournisseurs sur leurs données environnementales. Dans les deux à trois ans qui viennent, toute entreprise intégrée dans une chaîne de valeur d’un grand groupe européen va recevoir ces questionnaires. Ce n’est plus un sujet pour les seules directions RSE c’est un enjeu commercial et stratégique pour l’ensemble des dirigeants.</w:t>
      </w:r>
    </w:p>
    <w:p w14:paraId="40C881C0" w14:textId="4D737D3D" w:rsidR="00AE0893" w:rsidRDefault="00000000">
      <w:pPr>
        <w:spacing w:before="140" w:after="140" w:line="380" w:lineRule="auto"/>
        <w:jc w:val="both"/>
      </w:pPr>
      <w:r>
        <w:t>Cet article ouvre plusieurs pistes de recherche. Une étude longitudinale permettrait de suivre l’évolution des pratiques sur plusieurs cycles de reporting. Une comparaison européenne éclairerait le rôle des contextes institutionnels nationaux. Et une extension aux entreprises d’Afrique du Nord particulièrement pertinente dans un contexte de développement. Elle permettrait d’analyser comment les dynamiques de normalisation internationale se traduisent dans des contextes réglementaires et culturels différents.</w:t>
      </w:r>
    </w:p>
    <w:p w14:paraId="672671B9" w14:textId="77777777" w:rsidR="00AE0893" w:rsidRDefault="00AE0893">
      <w:pPr>
        <w:spacing w:before="80" w:after="80"/>
      </w:pPr>
    </w:p>
    <w:p w14:paraId="48E5B148" w14:textId="77777777" w:rsidR="00AE0893" w:rsidRDefault="00000000">
      <w:pPr>
        <w:pBdr>
          <w:top w:val="single" w:sz="2" w:space="4" w:color="CCCCCC"/>
        </w:pBdr>
        <w:spacing w:after="60"/>
      </w:pPr>
      <w:r>
        <w:lastRenderedPageBreak/>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E0893" w14:paraId="5B820C98" w14:textId="77777777">
        <w:tblPrEx>
          <w:tblCellMar>
            <w:top w:w="0" w:type="dxa"/>
            <w:bottom w:w="0" w:type="dxa"/>
          </w:tblCellMar>
        </w:tblPrEx>
        <w:tc>
          <w:tcPr>
            <w:tcW w:w="9360" w:type="dxa"/>
            <w:tcBorders>
              <w:top w:val="single" w:sz="1" w:space="0" w:color="8A6A1A"/>
              <w:left w:val="single" w:sz="10" w:space="0" w:color="8A6A1A"/>
              <w:bottom w:val="single" w:sz="1" w:space="0" w:color="8A6A1A"/>
              <w:right w:val="single" w:sz="1" w:space="0" w:color="8A6A1A"/>
            </w:tcBorders>
            <w:shd w:val="clear" w:color="auto" w:fill="FFFDF0"/>
            <w:tcMar>
              <w:top w:w="120" w:type="dxa"/>
              <w:left w:w="220" w:type="dxa"/>
              <w:bottom w:w="120" w:type="dxa"/>
              <w:right w:w="200" w:type="dxa"/>
            </w:tcMar>
          </w:tcPr>
          <w:p w14:paraId="2ECEE04A" w14:textId="77777777" w:rsidR="00AE0893" w:rsidRDefault="00000000">
            <w:pPr>
              <w:spacing w:after="60"/>
            </w:pPr>
            <w:r>
              <w:rPr>
                <w:b/>
                <w:bCs/>
                <w:color w:val="8A6A1A"/>
                <w:sz w:val="21"/>
                <w:szCs w:val="21"/>
              </w:rPr>
              <w:t>Déclaration de conflits d’intérêts et biais de positionnement</w:t>
            </w:r>
          </w:p>
          <w:p w14:paraId="517F3526" w14:textId="0BF099F6" w:rsidR="00AE0893" w:rsidRDefault="00000000">
            <w:pPr>
              <w:spacing w:after="60" w:line="340" w:lineRule="auto"/>
              <w:jc w:val="both"/>
            </w:pPr>
            <w:r>
              <w:rPr>
                <w:sz w:val="20"/>
                <w:szCs w:val="20"/>
              </w:rPr>
              <w:t>L’auteur de cet article est Directeur Zone Afrique et Moyen-Orient de la Green World Planet International Academy, institution spécialisée dans la formation aux normes ISO 14000 et aux référentiels environnementaux internationaux. Ce positionnement institutionnel est susceptible d’influencer l’interprétation des résultats, en particulier la conclusion selon laquelle la certification ISO 14001 constitue, dans notre échantillon, un facteur associé à une meilleure appropriation de la CSRD — une conclusion que notre positionnement institutionnel peut conduire à surestimer.</w:t>
            </w:r>
          </w:p>
          <w:p w14:paraId="1826CA79" w14:textId="77777777" w:rsidR="00AE0893" w:rsidRDefault="00000000">
            <w:pPr>
              <w:spacing w:after="60" w:line="340" w:lineRule="auto"/>
              <w:jc w:val="both"/>
            </w:pPr>
            <w:r>
              <w:rPr>
                <w:sz w:val="20"/>
                <w:szCs w:val="20"/>
              </w:rPr>
              <w:t>L’auteur a pris les dispositions suivantes pour limiter ce biais : (1) les profils d’adoption ont été construits inductivement sans grille de codage préétablie favorable à un résultat précis ; (2) le codage thématique a été réalisé en double aveugle avec un chercheur associé indépendant de l’institution (accord inter-codeurs kappa = 0,78) ; (3) les profils résistant et conformiste non certifié sont documentés avec la même rigueur que le profil intégrateur ; (4) la proposition P1 est explicitement qualifiée de proposition empirique qualitative nécessitant une validation quantitative externe sur un échantillon représentatif.</w:t>
            </w:r>
          </w:p>
          <w:p w14:paraId="23324B5E" w14:textId="027ACD0B" w:rsidR="00AE0893" w:rsidRDefault="00000000">
            <w:pPr>
              <w:spacing w:line="320" w:lineRule="auto"/>
              <w:jc w:val="both"/>
            </w:pPr>
            <w:r>
              <w:rPr>
                <w:i/>
                <w:iCs/>
                <w:color w:val="555555"/>
                <w:sz w:val="20"/>
                <w:szCs w:val="20"/>
              </w:rPr>
              <w:t>Aucun financement externe n’est associé à cette recherche. Les ETI participantes ont donné leur accord écrit pour l’utilisation anonymisée de leurs données. L’auteur reconnaît que la portée généralisable de ces conclusions reste limitée et invite la communauté académique à les soumettre à une réplication indépendante sur un échantillon plus large.</w:t>
            </w:r>
          </w:p>
        </w:tc>
      </w:tr>
    </w:tbl>
    <w:p w14:paraId="272A0CF2" w14:textId="77777777" w:rsidR="00AE0893" w:rsidRDefault="00AE0893">
      <w:pPr>
        <w:spacing w:before="60" w:after="60"/>
      </w:pPr>
    </w:p>
    <w:p w14:paraId="133F5EB5" w14:textId="77777777" w:rsidR="00AE0893" w:rsidRDefault="00000000">
      <w:pPr>
        <w:spacing w:before="60" w:after="60"/>
      </w:pPr>
      <w:r>
        <w:rPr>
          <w:b/>
          <w:bCs/>
          <w:sz w:val="20"/>
          <w:szCs w:val="20"/>
        </w:rPr>
        <w:t xml:space="preserve">Remerciements : </w:t>
      </w:r>
      <w:r>
        <w:rPr>
          <w:i/>
          <w:iCs/>
          <w:color w:val="555555"/>
          <w:sz w:val="20"/>
          <w:szCs w:val="20"/>
        </w:rPr>
        <w:t>L’auteur remercie les douze ETI ayant accepté de participer à cette recherche ainsi que le chercheur indépendant ayant contribué au codage en double aveugle.</w:t>
      </w:r>
    </w:p>
    <w:p w14:paraId="0121017A" w14:textId="77777777" w:rsidR="00AE0893" w:rsidRDefault="00AE0893">
      <w:pPr>
        <w:spacing w:before="120" w:after="120"/>
      </w:pPr>
    </w:p>
    <w:p w14:paraId="6A424FE1" w14:textId="77777777" w:rsidR="00AE0893" w:rsidRDefault="00000000">
      <w:r>
        <w:br w:type="page"/>
      </w:r>
    </w:p>
    <w:p w14:paraId="0CFF4B2D" w14:textId="77777777" w:rsidR="00AE0893" w:rsidRDefault="00000000">
      <w:pPr>
        <w:pStyle w:val="Titre1"/>
      </w:pPr>
      <w:r>
        <w:lastRenderedPageBreak/>
        <w:t>Références bibliographiques</w:t>
      </w:r>
    </w:p>
    <w:p w14:paraId="38F3B386" w14:textId="77777777" w:rsidR="00AE0893" w:rsidRDefault="00000000">
      <w:pPr>
        <w:spacing w:before="40" w:after="80" w:line="380" w:lineRule="auto"/>
        <w:jc w:val="both"/>
      </w:pPr>
      <w:r>
        <w:rPr>
          <w:i/>
          <w:iCs/>
          <w:color w:val="555555"/>
          <w:sz w:val="20"/>
          <w:szCs w:val="20"/>
        </w:rPr>
        <w:t>Références présentées selon le style APA 7e édition.</w:t>
      </w:r>
    </w:p>
    <w:p w14:paraId="783ADBAA" w14:textId="77777777" w:rsidR="00AE0893" w:rsidRDefault="00AE0893">
      <w:pPr>
        <w:spacing w:before="40" w:after="40"/>
      </w:pPr>
    </w:p>
    <w:p w14:paraId="050A0D9C" w14:textId="77777777" w:rsidR="00AE0893" w:rsidRDefault="00000000">
      <w:pPr>
        <w:spacing w:before="60" w:after="60" w:line="320" w:lineRule="auto"/>
        <w:ind w:hanging="360"/>
        <w:jc w:val="both"/>
      </w:pPr>
      <w:r>
        <w:rPr>
          <w:sz w:val="20"/>
          <w:szCs w:val="20"/>
        </w:rPr>
        <w:t>* Adams, C. A., Alhamood, A., He, X., Tian, J., &amp; Wang, Y. (2023). The double-materiality concept: Application and issues. ACCA &amp; IFAC Global Research Report.</w:t>
      </w:r>
    </w:p>
    <w:p w14:paraId="6DB8CF18" w14:textId="77777777" w:rsidR="00AE0893" w:rsidRDefault="00000000">
      <w:pPr>
        <w:spacing w:before="60" w:after="60" w:line="320" w:lineRule="auto"/>
        <w:ind w:hanging="360"/>
        <w:jc w:val="both"/>
      </w:pPr>
      <w:r>
        <w:rPr>
          <w:sz w:val="20"/>
          <w:szCs w:val="20"/>
        </w:rPr>
        <w:t>Bebbington, J., &amp; Unerman, J. (2020). Advancing research into accounting and the UN Sustainable Development Goals. Accounting, Auditing &amp; Accountability Journal, 33(7), 1657-1670.</w:t>
      </w:r>
    </w:p>
    <w:p w14:paraId="65EDB91D" w14:textId="77777777" w:rsidR="00AE0893" w:rsidRDefault="00000000">
      <w:pPr>
        <w:spacing w:before="60" w:after="60" w:line="320" w:lineRule="auto"/>
        <w:ind w:hanging="360"/>
        <w:jc w:val="both"/>
      </w:pPr>
      <w:r>
        <w:rPr>
          <w:sz w:val="20"/>
          <w:szCs w:val="20"/>
        </w:rPr>
        <w:t>Braun, V., &amp; Clarke, V. (2006). Using thematic analysis in psychology. Qualitative Research in Psychology, 3(2), 77-101.</w:t>
      </w:r>
    </w:p>
    <w:p w14:paraId="6BE36EDD" w14:textId="77777777" w:rsidR="00AE0893" w:rsidRDefault="00000000">
      <w:pPr>
        <w:spacing w:before="60" w:after="60" w:line="320" w:lineRule="auto"/>
        <w:ind w:hanging="360"/>
        <w:jc w:val="both"/>
      </w:pPr>
      <w:r>
        <w:rPr>
          <w:sz w:val="20"/>
          <w:szCs w:val="20"/>
        </w:rPr>
        <w:t>Commission européenne. (2020). Étude d’évaluation de la NFRD — Rapport final. Publications Office of the European Union.</w:t>
      </w:r>
    </w:p>
    <w:p w14:paraId="0F21129E" w14:textId="77777777" w:rsidR="00AE0893" w:rsidRDefault="00000000">
      <w:pPr>
        <w:spacing w:before="60" w:after="60" w:line="320" w:lineRule="auto"/>
        <w:ind w:hanging="360"/>
        <w:jc w:val="both"/>
      </w:pPr>
      <w:r>
        <w:rPr>
          <w:sz w:val="20"/>
          <w:szCs w:val="20"/>
        </w:rPr>
        <w:t>Commission européenne. (2022). Directive 2022/2464/UE relative au reporting de durabilité des entreprises (CSRD). Journal officiel de l’Union européenne.</w:t>
      </w:r>
    </w:p>
    <w:p w14:paraId="02D3F478" w14:textId="77777777" w:rsidR="00AE0893" w:rsidRDefault="00000000">
      <w:pPr>
        <w:spacing w:before="60" w:after="60" w:line="320" w:lineRule="auto"/>
        <w:ind w:hanging="360"/>
        <w:jc w:val="both"/>
      </w:pPr>
      <w:r>
        <w:rPr>
          <w:sz w:val="20"/>
          <w:szCs w:val="20"/>
        </w:rPr>
        <w:t>Denzin, N. K., &amp; Lincoln, Y. S. (2017). The SAGE Handbook of Qualitative Research (5e éd.). Sage Publications.</w:t>
      </w:r>
    </w:p>
    <w:p w14:paraId="1856547F" w14:textId="77777777" w:rsidR="00AE0893" w:rsidRDefault="00000000">
      <w:pPr>
        <w:spacing w:before="60" w:after="60" w:line="320" w:lineRule="auto"/>
        <w:ind w:hanging="360"/>
        <w:jc w:val="both"/>
      </w:pPr>
      <w:r>
        <w:rPr>
          <w:sz w:val="20"/>
          <w:szCs w:val="20"/>
        </w:rPr>
        <w:t>DiMaggio, P. J., &amp; Powell, W. W. (1983). The iron cage revisited. American Sociological Review, 48(2), 147-160.</w:t>
      </w:r>
    </w:p>
    <w:p w14:paraId="42F448C2" w14:textId="77777777" w:rsidR="00AE0893" w:rsidRDefault="00000000">
      <w:pPr>
        <w:spacing w:before="60" w:after="60" w:line="320" w:lineRule="auto"/>
        <w:ind w:hanging="360"/>
        <w:jc w:val="both"/>
      </w:pPr>
      <w:r>
        <w:rPr>
          <w:sz w:val="20"/>
          <w:szCs w:val="20"/>
        </w:rPr>
        <w:t>Dumay, J., La Torre, M., &amp; Farneti, F. (2023). Sustainability reporting and integrated thinking. Business Strategy and the Environment, 32(1), 1-18.</w:t>
      </w:r>
    </w:p>
    <w:p w14:paraId="309802EF" w14:textId="77777777" w:rsidR="00AE0893" w:rsidRDefault="00000000">
      <w:pPr>
        <w:spacing w:before="60" w:after="60" w:line="320" w:lineRule="auto"/>
        <w:ind w:hanging="360"/>
        <w:jc w:val="both"/>
      </w:pPr>
      <w:r>
        <w:rPr>
          <w:sz w:val="20"/>
          <w:szCs w:val="20"/>
        </w:rPr>
        <w:t>EFRAG. (2023). European Sustainability Reporting Standards — ESRS E1 à E5. European Financial Reporting Advisory Group.</w:t>
      </w:r>
    </w:p>
    <w:p w14:paraId="52B5571A" w14:textId="77777777" w:rsidR="00AE0893" w:rsidRDefault="00000000">
      <w:pPr>
        <w:spacing w:before="60" w:after="60" w:line="320" w:lineRule="auto"/>
        <w:ind w:hanging="360"/>
        <w:jc w:val="both"/>
      </w:pPr>
      <w:r>
        <w:rPr>
          <w:sz w:val="20"/>
          <w:szCs w:val="20"/>
        </w:rPr>
        <w:t>GRI. (2021). GRI Universal Standards 2021 : GRI 1, GRI 2, GRI 3. Global Reporting Initiative.</w:t>
      </w:r>
    </w:p>
    <w:p w14:paraId="11DB56D7" w14:textId="77777777" w:rsidR="00AE0893" w:rsidRDefault="00000000">
      <w:pPr>
        <w:spacing w:before="60" w:after="60" w:line="320" w:lineRule="auto"/>
        <w:ind w:hanging="360"/>
        <w:jc w:val="both"/>
      </w:pPr>
      <w:r>
        <w:rPr>
          <w:sz w:val="20"/>
          <w:szCs w:val="20"/>
        </w:rPr>
        <w:t>Guenther, E., Hoppe, H., &amp; Poser, C. (2022). From environmental management to sustainability reporting. Journal of Cleaner Production, 380, 134943.</w:t>
      </w:r>
    </w:p>
    <w:p w14:paraId="269F3A24" w14:textId="77777777" w:rsidR="00AE0893" w:rsidRDefault="00000000">
      <w:pPr>
        <w:spacing w:before="60" w:after="60" w:line="320" w:lineRule="auto"/>
        <w:ind w:hanging="360"/>
        <w:jc w:val="both"/>
      </w:pPr>
      <w:r>
        <w:rPr>
          <w:sz w:val="20"/>
          <w:szCs w:val="20"/>
        </w:rPr>
        <w:t>Hahn, R., &amp; Kuhnen, M. (2013). Determinants of sustainability reporting. Journal of Cleaner Production, 59, 5-21.</w:t>
      </w:r>
    </w:p>
    <w:p w14:paraId="45864E38" w14:textId="77777777" w:rsidR="00AE0893" w:rsidRDefault="00000000">
      <w:pPr>
        <w:spacing w:before="60" w:after="60" w:line="320" w:lineRule="auto"/>
        <w:ind w:hanging="360"/>
        <w:jc w:val="both"/>
      </w:pPr>
      <w:r>
        <w:rPr>
          <w:sz w:val="20"/>
          <w:szCs w:val="20"/>
        </w:rPr>
        <w:t>IASB. (2018). Conceptual Framework for Financial Reporting. International Accounting Standards Board.</w:t>
      </w:r>
    </w:p>
    <w:p w14:paraId="4C739DB3" w14:textId="77777777" w:rsidR="00AE0893" w:rsidRDefault="00000000">
      <w:pPr>
        <w:spacing w:before="60" w:after="60" w:line="320" w:lineRule="auto"/>
        <w:ind w:hanging="360"/>
        <w:jc w:val="both"/>
      </w:pPr>
      <w:r>
        <w:rPr>
          <w:sz w:val="20"/>
          <w:szCs w:val="20"/>
        </w:rPr>
        <w:t>IIRC. (2013). The International Integrated Reporting Framework. International Integrated Reporting Council.</w:t>
      </w:r>
    </w:p>
    <w:p w14:paraId="0A75B053" w14:textId="77777777" w:rsidR="00AE0893" w:rsidRDefault="00000000">
      <w:pPr>
        <w:spacing w:before="60" w:after="60" w:line="320" w:lineRule="auto"/>
        <w:ind w:hanging="360"/>
        <w:jc w:val="both"/>
      </w:pPr>
      <w:r>
        <w:rPr>
          <w:sz w:val="20"/>
          <w:szCs w:val="20"/>
        </w:rPr>
        <w:t>INSEE. (2023). Les entreprises en France — Édition 2023. Institut National de la Statistique et des Études Économiques.</w:t>
      </w:r>
    </w:p>
    <w:p w14:paraId="5FFA20E4" w14:textId="77777777" w:rsidR="00AE0893" w:rsidRDefault="00000000">
      <w:pPr>
        <w:spacing w:before="60" w:after="60" w:line="320" w:lineRule="auto"/>
        <w:ind w:hanging="360"/>
        <w:jc w:val="both"/>
      </w:pPr>
      <w:r>
        <w:rPr>
          <w:sz w:val="20"/>
          <w:szCs w:val="20"/>
        </w:rPr>
        <w:t>ISO. (2015). ISO 14001:2015 — Systèmes de management environnemental. Organisation internationale de normalisation.</w:t>
      </w:r>
    </w:p>
    <w:p w14:paraId="19CCA246" w14:textId="77777777" w:rsidR="00AE0893" w:rsidRDefault="00000000">
      <w:pPr>
        <w:spacing w:before="60" w:after="60" w:line="320" w:lineRule="auto"/>
        <w:ind w:hanging="360"/>
        <w:jc w:val="both"/>
      </w:pPr>
      <w:r>
        <w:rPr>
          <w:sz w:val="20"/>
          <w:szCs w:val="20"/>
        </w:rPr>
        <w:t>ISO. (2018). ISO 14064-1:2018 — Gaz à effet de serre. Organisation internationale de normalisation.</w:t>
      </w:r>
    </w:p>
    <w:p w14:paraId="5A7A09EE" w14:textId="77777777" w:rsidR="00AE0893" w:rsidRDefault="00000000">
      <w:pPr>
        <w:spacing w:before="60" w:after="60" w:line="320" w:lineRule="auto"/>
        <w:ind w:hanging="360"/>
        <w:jc w:val="both"/>
      </w:pPr>
      <w:r>
        <w:rPr>
          <w:sz w:val="20"/>
          <w:szCs w:val="20"/>
        </w:rPr>
        <w:t>Landis, J. R., &amp; Koch, G. G. (1977). The measurement of observer agreement for categorical data. Biometrics, 33(1), 159-174.</w:t>
      </w:r>
    </w:p>
    <w:p w14:paraId="16DBD9A3" w14:textId="77777777" w:rsidR="00AE0893" w:rsidRDefault="00000000">
      <w:pPr>
        <w:spacing w:before="60" w:after="60" w:line="320" w:lineRule="auto"/>
        <w:ind w:hanging="360"/>
        <w:jc w:val="both"/>
      </w:pPr>
      <w:r>
        <w:rPr>
          <w:sz w:val="20"/>
          <w:szCs w:val="20"/>
        </w:rPr>
        <w:t>Marquis, C., Toffel, M. W., &amp; Zhou, Y. (2016). Scrutiny, norms, and selective disclosure. Organization Science, 27(2), 483-504.</w:t>
      </w:r>
    </w:p>
    <w:p w14:paraId="0B390474" w14:textId="77777777" w:rsidR="00AE0893" w:rsidRDefault="00000000">
      <w:pPr>
        <w:spacing w:before="60" w:after="60" w:line="320" w:lineRule="auto"/>
        <w:ind w:hanging="360"/>
        <w:jc w:val="both"/>
      </w:pPr>
      <w:r>
        <w:rPr>
          <w:sz w:val="20"/>
          <w:szCs w:val="20"/>
        </w:rPr>
        <w:t>Meyer, J. W., &amp; Rowan, B. (1977). Institutionalized organizations. American Journal of Sociology, 83(2), 340-363.</w:t>
      </w:r>
    </w:p>
    <w:p w14:paraId="256C9F7F" w14:textId="77777777" w:rsidR="00AE0893" w:rsidRDefault="00000000">
      <w:pPr>
        <w:spacing w:before="60" w:after="60" w:line="320" w:lineRule="auto"/>
        <w:ind w:hanging="360"/>
        <w:jc w:val="both"/>
      </w:pPr>
      <w:r>
        <w:rPr>
          <w:sz w:val="20"/>
          <w:szCs w:val="20"/>
        </w:rPr>
        <w:t>Scott, W. R. (1995). Institutions and Organizations. Sage Publications.</w:t>
      </w:r>
    </w:p>
    <w:p w14:paraId="532F9E4E" w14:textId="77777777" w:rsidR="00AE0893" w:rsidRDefault="00000000">
      <w:pPr>
        <w:spacing w:before="60" w:after="60" w:line="320" w:lineRule="auto"/>
        <w:ind w:hanging="360"/>
        <w:jc w:val="both"/>
      </w:pPr>
      <w:r>
        <w:rPr>
          <w:sz w:val="20"/>
          <w:szCs w:val="20"/>
        </w:rPr>
        <w:t>Testa, F., Boiral, O., &amp; Iraldo, F. (2018). Internalization of environmental practices and institutional complexity. Journal of Business Ethics, 147(2), 287-307.</w:t>
      </w:r>
    </w:p>
    <w:p w14:paraId="64D90800" w14:textId="77777777" w:rsidR="00AE0893" w:rsidRDefault="00000000">
      <w:pPr>
        <w:spacing w:before="60" w:after="60" w:line="320" w:lineRule="auto"/>
        <w:ind w:hanging="360"/>
        <w:jc w:val="both"/>
      </w:pPr>
      <w:r>
        <w:rPr>
          <w:sz w:val="20"/>
          <w:szCs w:val="20"/>
        </w:rPr>
        <w:lastRenderedPageBreak/>
        <w:t>* Chauvey, J.-N., &amp; Giordano-Spring, S. (2023). La double matérialité dans le reporting de durabilité : enjeux conceptuels et opérationnels. Revue Française de Comptabilité, 562, 18-24.</w:t>
      </w:r>
    </w:p>
    <w:p w14:paraId="7514D6E4" w14:textId="77777777" w:rsidR="00AE0893" w:rsidRDefault="00000000">
      <w:pPr>
        <w:spacing w:before="60" w:after="60" w:line="320" w:lineRule="auto"/>
        <w:ind w:hanging="360"/>
        <w:jc w:val="both"/>
      </w:pPr>
      <w:r>
        <w:rPr>
          <w:sz w:val="20"/>
          <w:szCs w:val="20"/>
        </w:rPr>
        <w:t>* Dumay, J., &amp; Dai, T. (2023). Integrated thinking and materiality in integrated reporting. Accounting, Auditing &amp; Accountability Journal, 36(4), 860-886.</w:t>
      </w:r>
    </w:p>
    <w:p w14:paraId="3B84E270" w14:textId="77777777" w:rsidR="00AE0893" w:rsidRDefault="00000000">
      <w:pPr>
        <w:spacing w:before="60" w:after="60" w:line="320" w:lineRule="auto"/>
        <w:ind w:hanging="360"/>
        <w:jc w:val="both"/>
      </w:pPr>
      <w:r>
        <w:rPr>
          <w:sz w:val="20"/>
          <w:szCs w:val="20"/>
        </w:rPr>
        <w:t>* Fiechter, P., Hitz, J.-M., &amp; Lehmann, N. (2022). Real effects of a widespread CSR reporting mandate. The Accounting Review, 97(6), 167-198.</w:t>
      </w:r>
    </w:p>
    <w:p w14:paraId="73EFB508" w14:textId="77777777" w:rsidR="00AE0893" w:rsidRDefault="00000000">
      <w:pPr>
        <w:spacing w:before="60" w:after="60" w:line="320" w:lineRule="auto"/>
        <w:ind w:hanging="360"/>
        <w:jc w:val="both"/>
      </w:pPr>
      <w:r>
        <w:rPr>
          <w:sz w:val="20"/>
          <w:szCs w:val="20"/>
        </w:rPr>
        <w:t>Glaser, B., &amp; Strauss, A. (1967). The Discovery of Grounded Theory. Aldine Publishing.</w:t>
      </w:r>
    </w:p>
    <w:p w14:paraId="4E00E5A6" w14:textId="77777777" w:rsidR="00AE0893" w:rsidRDefault="00000000">
      <w:pPr>
        <w:spacing w:before="60" w:after="60" w:line="320" w:lineRule="auto"/>
        <w:ind w:hanging="360"/>
        <w:jc w:val="both"/>
      </w:pPr>
      <w:r>
        <w:rPr>
          <w:sz w:val="20"/>
          <w:szCs w:val="20"/>
        </w:rPr>
        <w:t>Greenwood, R., &amp; Hinings, C. R. (1996). Understanding radical organizational change. Academy of Management Review, 21(4), 1022-1054.</w:t>
      </w:r>
    </w:p>
    <w:p w14:paraId="1376E0F5" w14:textId="77777777" w:rsidR="00AE0893" w:rsidRDefault="00000000">
      <w:pPr>
        <w:spacing w:before="60" w:after="60" w:line="320" w:lineRule="auto"/>
        <w:ind w:hanging="360"/>
        <w:jc w:val="both"/>
      </w:pPr>
      <w:r>
        <w:rPr>
          <w:sz w:val="20"/>
          <w:szCs w:val="20"/>
        </w:rPr>
        <w:t>Miles, M. B., Huberman, A. M., &amp; Saldana, J. (2020). Qualitative Data Analysis (4e éd.). Sage Publications.</w:t>
      </w:r>
    </w:p>
    <w:p w14:paraId="52A0CDB3" w14:textId="77777777" w:rsidR="00AE0893" w:rsidRDefault="00000000">
      <w:pPr>
        <w:spacing w:before="60" w:after="60" w:line="320" w:lineRule="auto"/>
        <w:ind w:hanging="360"/>
        <w:jc w:val="both"/>
      </w:pPr>
      <w:r>
        <w:rPr>
          <w:sz w:val="20"/>
          <w:szCs w:val="20"/>
        </w:rPr>
        <w:t>Oliver, C. (1991). Strategic responses to institutional processes. Academy of Management Review, 16(1), 145-179.</w:t>
      </w:r>
    </w:p>
    <w:p w14:paraId="7E003CCA" w14:textId="77777777" w:rsidR="00AE0893" w:rsidRDefault="00000000">
      <w:pPr>
        <w:spacing w:before="60" w:after="60" w:line="320" w:lineRule="auto"/>
        <w:ind w:hanging="360"/>
        <w:jc w:val="both"/>
      </w:pPr>
      <w:r>
        <w:rPr>
          <w:sz w:val="20"/>
          <w:szCs w:val="20"/>
        </w:rPr>
        <w:t>Patton, M. Q. (2002). Qualitative Research and Evaluation Methods (3e éd.). Sage Publications.</w:t>
      </w:r>
    </w:p>
    <w:p w14:paraId="6A291FBF" w14:textId="77777777" w:rsidR="00AE0893" w:rsidRDefault="00000000">
      <w:pPr>
        <w:spacing w:before="60" w:after="60" w:line="320" w:lineRule="auto"/>
        <w:ind w:hanging="360"/>
        <w:jc w:val="both"/>
      </w:pPr>
      <w:r>
        <w:rPr>
          <w:sz w:val="20"/>
          <w:szCs w:val="20"/>
        </w:rPr>
        <w:t>* Roca, L. C., &amp; Searcy, C. (2012). An analysis of indicators disclosed in corporate sustainability reports. Journal of Cleaner Production, 20(1), 103-118.</w:t>
      </w:r>
    </w:p>
    <w:p w14:paraId="46B3C0B9" w14:textId="77777777" w:rsidR="00AE0893" w:rsidRDefault="00000000">
      <w:pPr>
        <w:spacing w:before="60" w:after="60" w:line="320" w:lineRule="auto"/>
        <w:ind w:hanging="360"/>
        <w:jc w:val="both"/>
      </w:pPr>
      <w:r>
        <w:rPr>
          <w:sz w:val="20"/>
          <w:szCs w:val="20"/>
        </w:rPr>
        <w:t>TCFD. (2017). Recommendations of the Task Force on Climate-related Financial Disclosures. Financial Stability Board.</w:t>
      </w:r>
    </w:p>
    <w:p w14:paraId="78F546FB" w14:textId="77777777" w:rsidR="00AE0893" w:rsidRDefault="00000000">
      <w:pPr>
        <w:spacing w:before="60" w:after="60" w:line="320" w:lineRule="auto"/>
        <w:ind w:hanging="360"/>
        <w:jc w:val="both"/>
      </w:pPr>
      <w:r>
        <w:rPr>
          <w:sz w:val="20"/>
          <w:szCs w:val="20"/>
        </w:rPr>
        <w:t>* Velte, P. (2022). ESG ratings and corporate tax avoidance. Journal of Global Responsibility, 12(4), 469-490.</w:t>
      </w:r>
    </w:p>
    <w:p w14:paraId="74B0F9DA" w14:textId="77777777" w:rsidR="00AE0893" w:rsidRDefault="00000000">
      <w:pPr>
        <w:spacing w:before="60" w:after="60" w:line="320" w:lineRule="auto"/>
        <w:ind w:hanging="360"/>
        <w:jc w:val="both"/>
      </w:pPr>
      <w:r>
        <w:rPr>
          <w:sz w:val="20"/>
          <w:szCs w:val="20"/>
        </w:rPr>
        <w:t>Yin, R. K. (2018). Case Study Research and Applications (6e éd.). Sage Publications.</w:t>
      </w:r>
    </w:p>
    <w:p w14:paraId="446E04F9" w14:textId="77777777" w:rsidR="00AE0893" w:rsidRDefault="00AE0893">
      <w:pPr>
        <w:spacing w:before="100" w:after="100"/>
      </w:pPr>
    </w:p>
    <w:p w14:paraId="4BC1AA22" w14:textId="77777777" w:rsidR="00AE0893" w:rsidRDefault="00000000">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E0893" w14:paraId="265E3320" w14:textId="77777777">
        <w:tblPrEx>
          <w:tblCellMar>
            <w:top w:w="0" w:type="dxa"/>
            <w:bottom w:w="0" w:type="dxa"/>
          </w:tblCellMar>
        </w:tblPrEx>
        <w:tc>
          <w:tcPr>
            <w:tcW w:w="9360" w:type="dxa"/>
            <w:tcBorders>
              <w:top w:val="single" w:sz="1" w:space="0" w:color="1A2D4A"/>
              <w:left w:val="single" w:sz="1" w:space="0" w:color="1A2D4A"/>
              <w:bottom w:val="single" w:sz="1" w:space="0" w:color="1A2D4A"/>
              <w:right w:val="single" w:sz="1" w:space="0" w:color="1A2D4A"/>
            </w:tcBorders>
            <w:shd w:val="clear" w:color="auto" w:fill="1A2D4A"/>
            <w:tcMar>
              <w:top w:w="160" w:type="dxa"/>
              <w:left w:w="280" w:type="dxa"/>
              <w:bottom w:w="160" w:type="dxa"/>
              <w:right w:w="280" w:type="dxa"/>
            </w:tcMar>
          </w:tcPr>
          <w:p w14:paraId="5FA8C6D9" w14:textId="77777777" w:rsidR="00AE0893" w:rsidRDefault="00000000">
            <w:pPr>
              <w:spacing w:after="60"/>
              <w:jc w:val="center"/>
            </w:pPr>
            <w:r>
              <w:rPr>
                <w:b/>
                <w:bCs/>
                <w:color w:val="C9A84C"/>
                <w:sz w:val="22"/>
                <w:szCs w:val="22"/>
              </w:rPr>
              <w:lastRenderedPageBreak/>
              <w:t>DÉCLARATION DE L’AUTEUR</w:t>
            </w:r>
          </w:p>
          <w:p w14:paraId="68E14D45" w14:textId="77777777" w:rsidR="00AE0893" w:rsidRDefault="00000000">
            <w:pPr>
              <w:spacing w:line="340" w:lineRule="auto"/>
              <w:jc w:val="center"/>
            </w:pPr>
            <w:r>
              <w:rPr>
                <w:i/>
                <w:iCs/>
                <w:color w:val="FFFFFF"/>
                <w:sz w:val="20"/>
                <w:szCs w:val="20"/>
              </w:rPr>
              <w:t>Je soussigné Bouzaroura Cherif, déclare être l’auteur unique de cet article, certifié l’originalite des travaux présentés et l’absence de conflit d’intérêt.</w:t>
            </w:r>
          </w:p>
        </w:tc>
      </w:tr>
    </w:tbl>
    <w:p w14:paraId="06DC0B0D" w14:textId="77777777" w:rsidR="00AE0893" w:rsidRDefault="00AE0893">
      <w:pPr>
        <w:spacing w:before="120"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AE0893" w14:paraId="58660BCA" w14:textId="77777777">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F8FBF8"/>
            <w:tcMar>
              <w:top w:w="140" w:type="dxa"/>
              <w:left w:w="200" w:type="dxa"/>
              <w:bottom w:w="140" w:type="dxa"/>
              <w:right w:w="200" w:type="dxa"/>
            </w:tcMar>
          </w:tcPr>
          <w:p w14:paraId="42A09C95" w14:textId="77777777" w:rsidR="00AE0893" w:rsidRDefault="00000000">
            <w:pPr>
              <w:spacing w:after="60"/>
            </w:pPr>
            <w:r>
              <w:rPr>
                <w:b/>
                <w:bCs/>
                <w:color w:val="1A2D4A"/>
                <w:sz w:val="28"/>
                <w:szCs w:val="28"/>
              </w:rPr>
              <w:t>Bouzaroura Cherif</w:t>
            </w:r>
          </w:p>
          <w:p w14:paraId="26A3D613" w14:textId="77777777" w:rsidR="00AE0893" w:rsidRDefault="00000000">
            <w:pPr>
              <w:spacing w:after="40"/>
            </w:pPr>
            <w:r>
              <w:rPr>
                <w:i/>
                <w:iCs/>
                <w:color w:val="555555"/>
                <w:sz w:val="20"/>
                <w:szCs w:val="20"/>
              </w:rPr>
              <w:t>Ingénieur en Sciences de l’Environnement</w:t>
            </w:r>
          </w:p>
          <w:p w14:paraId="7658577D" w14:textId="77777777" w:rsidR="00AE0893" w:rsidRDefault="00000000">
            <w:pPr>
              <w:spacing w:after="40"/>
            </w:pPr>
            <w:r>
              <w:rPr>
                <w:sz w:val="20"/>
                <w:szCs w:val="20"/>
              </w:rPr>
              <w:t>Directeur Zone Afrique &amp; Moyen-Orient</w:t>
            </w:r>
          </w:p>
          <w:p w14:paraId="36214647" w14:textId="77777777" w:rsidR="00AE0893" w:rsidRDefault="00000000">
            <w:pPr>
              <w:spacing w:after="40"/>
            </w:pPr>
            <w:r>
              <w:rPr>
                <w:color w:val="2E5F8A"/>
                <w:sz w:val="20"/>
                <w:szCs w:val="20"/>
              </w:rPr>
              <w:t>Green World Planet International Academy</w:t>
            </w:r>
          </w:p>
          <w:p w14:paraId="3591F2FA" w14:textId="77777777" w:rsidR="00AE0893" w:rsidRDefault="00AE0893">
            <w:pPr>
              <w:spacing w:before="40" w:after="40"/>
            </w:pPr>
          </w:p>
          <w:p w14:paraId="3B232ADA" w14:textId="77777777" w:rsidR="00AE0893" w:rsidRDefault="00000000">
            <w:pPr>
              <w:spacing w:after="30"/>
            </w:pPr>
            <w:r>
              <w:rPr>
                <w:i/>
                <w:iCs/>
                <w:color w:val="8A6A1A"/>
                <w:sz w:val="18"/>
                <w:szCs w:val="18"/>
              </w:rPr>
              <w:t>Diplôme N° 075.01.0161  |  Promotion 2004  |  Mention T.H.</w:t>
            </w:r>
          </w:p>
          <w:p w14:paraId="4F2FB25B" w14:textId="77777777" w:rsidR="00AE0893" w:rsidRDefault="00000000">
            <w:r>
              <w:rPr>
                <w:color w:val="2E5F8A"/>
                <w:sz w:val="18"/>
                <w:szCs w:val="18"/>
              </w:rPr>
              <w:t>gwtmarielefebvre@green-world-planet.com</w:t>
            </w:r>
          </w:p>
        </w:tc>
        <w:tc>
          <w:tcPr>
            <w:tcW w:w="4680" w:type="dxa"/>
            <w:tcBorders>
              <w:top w:val="single" w:sz="1" w:space="0" w:color="CCCCCC"/>
              <w:left w:val="single" w:sz="1" w:space="0" w:color="CCCCCC"/>
              <w:bottom w:val="single" w:sz="1" w:space="0" w:color="CCCCCC"/>
              <w:right w:val="single" w:sz="1" w:space="0" w:color="CCCCCC"/>
            </w:tcBorders>
            <w:shd w:val="clear" w:color="auto" w:fill="FAFAFA"/>
            <w:tcMar>
              <w:top w:w="140" w:type="dxa"/>
              <w:left w:w="200" w:type="dxa"/>
              <w:bottom w:w="140" w:type="dxa"/>
              <w:right w:w="200" w:type="dxa"/>
            </w:tcMar>
          </w:tcPr>
          <w:p w14:paraId="73DA19A2" w14:textId="77777777" w:rsidR="00AE0893" w:rsidRDefault="00000000">
            <w:pPr>
              <w:spacing w:after="80"/>
            </w:pPr>
            <w:r>
              <w:rPr>
                <w:i/>
                <w:iCs/>
                <w:color w:val="555555"/>
                <w:sz w:val="18"/>
                <w:szCs w:val="18"/>
              </w:rPr>
              <w:t>Signature de l’auteur :</w:t>
            </w:r>
          </w:p>
          <w:tbl>
            <w:tblPr>
              <w:tblW w:w="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0"/>
            </w:tblGrid>
            <w:tr w:rsidR="00AE0893" w14:paraId="17A51A13" w14:textId="77777777">
              <w:tblPrEx>
                <w:tblCellMar>
                  <w:top w:w="0" w:type="dxa"/>
                  <w:bottom w:w="0" w:type="dxa"/>
                </w:tblCellMar>
              </w:tblPrEx>
              <w:tc>
                <w:tcPr>
                  <w:tcW w:w="4000" w:type="dxa"/>
                  <w:tcBorders>
                    <w:top w:val="single" w:sz="1" w:space="0" w:color="AAAAAA"/>
                    <w:left w:val="single" w:sz="1" w:space="0" w:color="AAAAAA"/>
                    <w:bottom w:val="single" w:sz="1" w:space="0" w:color="AAAAAA"/>
                    <w:right w:val="single" w:sz="1" w:space="0" w:color="AAAAAA"/>
                  </w:tcBorders>
                  <w:shd w:val="clear" w:color="auto" w:fill="FFFFFF"/>
                  <w:tcMar>
                    <w:top w:w="180" w:type="dxa"/>
                    <w:left w:w="100" w:type="dxa"/>
                    <w:bottom w:w="180" w:type="dxa"/>
                    <w:right w:w="100" w:type="dxa"/>
                  </w:tcMar>
                </w:tcPr>
                <w:p w14:paraId="11164E1F" w14:textId="77777777" w:rsidR="00AE0893" w:rsidRDefault="00000000">
                  <w:pPr>
                    <w:spacing w:after="30"/>
                    <w:jc w:val="center"/>
                  </w:pPr>
                  <w:r>
                    <w:rPr>
                      <w:sz w:val="60"/>
                      <w:szCs w:val="60"/>
                    </w:rPr>
                    <w:t xml:space="preserve"> </w:t>
                  </w:r>
                </w:p>
                <w:p w14:paraId="1FBFAEE4" w14:textId="77777777" w:rsidR="00AE0893" w:rsidRDefault="00000000">
                  <w:pPr>
                    <w:jc w:val="center"/>
                  </w:pPr>
                  <w:r>
                    <w:rPr>
                      <w:i/>
                      <w:iCs/>
                      <w:color w:val="CCCCCC"/>
                      <w:sz w:val="16"/>
                      <w:szCs w:val="16"/>
                    </w:rPr>
                    <w:t>(Signature manuscrite)</w:t>
                  </w:r>
                </w:p>
              </w:tc>
            </w:tr>
          </w:tbl>
          <w:p w14:paraId="33E61C0D" w14:textId="77777777" w:rsidR="00AE0893" w:rsidRDefault="00AE0893">
            <w:pPr>
              <w:spacing w:before="60" w:after="60"/>
            </w:pPr>
          </w:p>
          <w:p w14:paraId="1DCEEDB3" w14:textId="77777777" w:rsidR="00AE0893" w:rsidRDefault="00000000">
            <w:pPr>
              <w:spacing w:after="30"/>
            </w:pPr>
            <w:r>
              <w:rPr>
                <w:sz w:val="19"/>
                <w:szCs w:val="19"/>
              </w:rPr>
              <w:t>Lieu : Paris, France</w:t>
            </w:r>
          </w:p>
          <w:p w14:paraId="2681B0BD" w14:textId="77777777" w:rsidR="00AE0893" w:rsidRDefault="00000000">
            <w:r>
              <w:rPr>
                <w:sz w:val="19"/>
                <w:szCs w:val="19"/>
              </w:rPr>
              <w:t>Date : Paris, juillet 2024</w:t>
            </w:r>
          </w:p>
        </w:tc>
      </w:tr>
    </w:tbl>
    <w:p w14:paraId="5DDF2903" w14:textId="77777777" w:rsidR="0084357E" w:rsidRDefault="0084357E"/>
    <w:sectPr w:rsidR="0084357E">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4C693" w14:textId="77777777" w:rsidR="0084357E" w:rsidRDefault="0084357E">
      <w:r>
        <w:separator/>
      </w:r>
    </w:p>
  </w:endnote>
  <w:endnote w:type="continuationSeparator" w:id="0">
    <w:p w14:paraId="4536EFD8" w14:textId="77777777" w:rsidR="0084357E" w:rsidRDefault="00843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97A5D" w14:textId="77777777" w:rsidR="00AE0893" w:rsidRDefault="00000000">
    <w:pPr>
      <w:pBdr>
        <w:top w:val="single" w:sz="2" w:space="4" w:color="CCCCCC"/>
      </w:pBdr>
      <w:spacing w:before="60"/>
    </w:pPr>
    <w:r>
      <w:rPr>
        <w:color w:val="555555"/>
        <w:sz w:val="16"/>
        <w:szCs w:val="16"/>
      </w:rPr>
      <w:t xml:space="preserve">Working Paper GWP International Academy  |  </w:t>
    </w:r>
    <w:r>
      <w:rPr>
        <w:color w:val="2E5F8A"/>
        <w:sz w:val="16"/>
        <w:szCs w:val="16"/>
      </w:rPr>
      <w:t xml:space="preserve">Soumis </w:t>
    </w:r>
    <w:proofErr w:type="spellStart"/>
    <w:r>
      <w:rPr>
        <w:color w:val="2E5F8A"/>
        <w:sz w:val="16"/>
        <w:szCs w:val="16"/>
      </w:rPr>
      <w:t>a</w:t>
    </w:r>
    <w:proofErr w:type="spellEnd"/>
    <w:r>
      <w:rPr>
        <w:color w:val="2E5F8A"/>
        <w:sz w:val="16"/>
        <w:szCs w:val="16"/>
      </w:rPr>
      <w:t xml:space="preserve"> Journal of Cleaner Production / Sustainability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FFC6B" w14:textId="77777777" w:rsidR="0084357E" w:rsidRDefault="0084357E">
      <w:r>
        <w:separator/>
      </w:r>
    </w:p>
  </w:footnote>
  <w:footnote w:type="continuationSeparator" w:id="0">
    <w:p w14:paraId="37AF2CE2" w14:textId="77777777" w:rsidR="0084357E" w:rsidRDefault="008435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4CA29" w14:textId="77777777" w:rsidR="00AE0893" w:rsidRDefault="00000000">
    <w:pPr>
      <w:pBdr>
        <w:bottom w:val="single" w:sz="2" w:space="4" w:color="CCCCCC"/>
      </w:pBdr>
      <w:spacing w:after="60"/>
    </w:pPr>
    <w:r>
      <w:rPr>
        <w:color w:val="555555"/>
        <w:sz w:val="17"/>
        <w:szCs w:val="17"/>
      </w:rPr>
      <w:t xml:space="preserve">Bouzaroura Cherif  |  </w:t>
    </w:r>
    <w:r>
      <w:rPr>
        <w:color w:val="2E5F8A"/>
        <w:sz w:val="17"/>
        <w:szCs w:val="17"/>
      </w:rPr>
      <w:t>De la NFRD a la CSRD : la double matérialité comme outil de pilotage stratégique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D1100"/>
    <w:multiLevelType w:val="hybridMultilevel"/>
    <w:tmpl w:val="CEA4E11C"/>
    <w:lvl w:ilvl="0" w:tplc="6C1C08A8">
      <w:start w:val="1"/>
      <w:numFmt w:val="bullet"/>
      <w:lvlText w:val="-"/>
      <w:lvlJc w:val="left"/>
      <w:pPr>
        <w:ind w:left="600" w:hanging="280"/>
      </w:pPr>
    </w:lvl>
    <w:lvl w:ilvl="1" w:tplc="8EB2B488">
      <w:numFmt w:val="decimal"/>
      <w:lvlText w:val=""/>
      <w:lvlJc w:val="left"/>
    </w:lvl>
    <w:lvl w:ilvl="2" w:tplc="6D7EF890">
      <w:numFmt w:val="decimal"/>
      <w:lvlText w:val=""/>
      <w:lvlJc w:val="left"/>
    </w:lvl>
    <w:lvl w:ilvl="3" w:tplc="3712081E">
      <w:numFmt w:val="decimal"/>
      <w:lvlText w:val=""/>
      <w:lvlJc w:val="left"/>
    </w:lvl>
    <w:lvl w:ilvl="4" w:tplc="9F806B72">
      <w:numFmt w:val="decimal"/>
      <w:lvlText w:val=""/>
      <w:lvlJc w:val="left"/>
    </w:lvl>
    <w:lvl w:ilvl="5" w:tplc="9562734A">
      <w:numFmt w:val="decimal"/>
      <w:lvlText w:val=""/>
      <w:lvlJc w:val="left"/>
    </w:lvl>
    <w:lvl w:ilvl="6" w:tplc="464057FA">
      <w:numFmt w:val="decimal"/>
      <w:lvlText w:val=""/>
      <w:lvlJc w:val="left"/>
    </w:lvl>
    <w:lvl w:ilvl="7" w:tplc="97B458D6">
      <w:numFmt w:val="decimal"/>
      <w:lvlText w:val=""/>
      <w:lvlJc w:val="left"/>
    </w:lvl>
    <w:lvl w:ilvl="8" w:tplc="81EA64F8">
      <w:numFmt w:val="decimal"/>
      <w:lvlText w:val=""/>
      <w:lvlJc w:val="left"/>
    </w:lvl>
  </w:abstractNum>
  <w:abstractNum w:abstractNumId="1" w15:restartNumberingAfterBreak="0">
    <w:nsid w:val="3D4719A5"/>
    <w:multiLevelType w:val="hybridMultilevel"/>
    <w:tmpl w:val="8558E3CA"/>
    <w:lvl w:ilvl="0" w:tplc="4BCC37A8">
      <w:start w:val="1"/>
      <w:numFmt w:val="bullet"/>
      <w:lvlText w:val="●"/>
      <w:lvlJc w:val="left"/>
      <w:pPr>
        <w:ind w:left="720" w:hanging="360"/>
      </w:pPr>
    </w:lvl>
    <w:lvl w:ilvl="1" w:tplc="9370A09C">
      <w:start w:val="1"/>
      <w:numFmt w:val="bullet"/>
      <w:lvlText w:val="○"/>
      <w:lvlJc w:val="left"/>
      <w:pPr>
        <w:ind w:left="1440" w:hanging="360"/>
      </w:pPr>
    </w:lvl>
    <w:lvl w:ilvl="2" w:tplc="EC5C260E">
      <w:start w:val="1"/>
      <w:numFmt w:val="bullet"/>
      <w:lvlText w:val="■"/>
      <w:lvlJc w:val="left"/>
      <w:pPr>
        <w:ind w:left="2160" w:hanging="360"/>
      </w:pPr>
    </w:lvl>
    <w:lvl w:ilvl="3" w:tplc="2F90F2B4">
      <w:start w:val="1"/>
      <w:numFmt w:val="bullet"/>
      <w:lvlText w:val="●"/>
      <w:lvlJc w:val="left"/>
      <w:pPr>
        <w:ind w:left="2880" w:hanging="360"/>
      </w:pPr>
    </w:lvl>
    <w:lvl w:ilvl="4" w:tplc="A6DE1330">
      <w:start w:val="1"/>
      <w:numFmt w:val="bullet"/>
      <w:lvlText w:val="○"/>
      <w:lvlJc w:val="left"/>
      <w:pPr>
        <w:ind w:left="3600" w:hanging="360"/>
      </w:pPr>
    </w:lvl>
    <w:lvl w:ilvl="5" w:tplc="67A6E26A">
      <w:start w:val="1"/>
      <w:numFmt w:val="bullet"/>
      <w:lvlText w:val="■"/>
      <w:lvlJc w:val="left"/>
      <w:pPr>
        <w:ind w:left="4320" w:hanging="360"/>
      </w:pPr>
    </w:lvl>
    <w:lvl w:ilvl="6" w:tplc="8F2C1538">
      <w:start w:val="1"/>
      <w:numFmt w:val="bullet"/>
      <w:lvlText w:val="●"/>
      <w:lvlJc w:val="left"/>
      <w:pPr>
        <w:ind w:left="5040" w:hanging="360"/>
      </w:pPr>
    </w:lvl>
    <w:lvl w:ilvl="7" w:tplc="885EE542">
      <w:start w:val="1"/>
      <w:numFmt w:val="bullet"/>
      <w:lvlText w:val="●"/>
      <w:lvlJc w:val="left"/>
      <w:pPr>
        <w:ind w:left="5760" w:hanging="360"/>
      </w:pPr>
    </w:lvl>
    <w:lvl w:ilvl="8" w:tplc="96ACED2A">
      <w:start w:val="1"/>
      <w:numFmt w:val="bullet"/>
      <w:lvlText w:val="●"/>
      <w:lvlJc w:val="left"/>
      <w:pPr>
        <w:ind w:left="6480" w:hanging="360"/>
      </w:pPr>
    </w:lvl>
  </w:abstractNum>
  <w:num w:numId="1" w16cid:durableId="1242330624">
    <w:abstractNumId w:val="1"/>
    <w:lvlOverride w:ilvl="0">
      <w:startOverride w:val="1"/>
    </w:lvlOverride>
  </w:num>
  <w:num w:numId="2" w16cid:durableId="552466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893"/>
    <w:rsid w:val="001A2E0A"/>
    <w:rsid w:val="00636DBD"/>
    <w:rsid w:val="006C12D1"/>
    <w:rsid w:val="0084357E"/>
    <w:rsid w:val="008D1000"/>
    <w:rsid w:val="00AE0893"/>
    <w:rsid w:val="00D2394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3D5F3"/>
  <w15:docId w15:val="{1E5DD7C1-399C-4E49-8FFA-0603E58D5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1A1208"/>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pBdr>
        <w:bottom w:val="single" w:sz="4" w:space="4" w:color="CCCCCC"/>
      </w:pBdr>
      <w:spacing w:before="420" w:after="200"/>
      <w:outlineLvl w:val="0"/>
    </w:pPr>
    <w:rPr>
      <w:b/>
      <w:bCs/>
      <w:color w:val="1A2D4A"/>
      <w:sz w:val="30"/>
      <w:szCs w:val="30"/>
    </w:rPr>
  </w:style>
  <w:style w:type="paragraph" w:styleId="Titre2">
    <w:name w:val="heading 2"/>
    <w:uiPriority w:val="9"/>
    <w:unhideWhenUsed/>
    <w:qFormat/>
    <w:pPr>
      <w:spacing w:before="300" w:after="140"/>
      <w:outlineLvl w:val="1"/>
    </w:pPr>
    <w:rPr>
      <w:b/>
      <w:bCs/>
      <w:color w:val="2E5F8A"/>
      <w:sz w:val="26"/>
      <w:szCs w:val="26"/>
    </w:rPr>
  </w:style>
  <w:style w:type="paragraph" w:styleId="Titre3">
    <w:name w:val="heading 3"/>
    <w:uiPriority w:val="9"/>
    <w:unhideWhenUsed/>
    <w:qFormat/>
    <w:pPr>
      <w:spacing w:before="220" w:after="100"/>
      <w:outlineLvl w:val="2"/>
    </w:pPr>
    <w:rPr>
      <w:b/>
      <w:bCs/>
      <w:color w:val="1A6B5A"/>
      <w:sz w:val="23"/>
      <w:szCs w:val="23"/>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6717</Words>
  <Characters>36946</Characters>
  <Application>Microsoft Office Word</Application>
  <DocSecurity>0</DocSecurity>
  <Lines>307</Lines>
  <Paragraphs>87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chetif bouzaroura</cp:lastModifiedBy>
  <cp:revision>3</cp:revision>
  <dcterms:created xsi:type="dcterms:W3CDTF">2026-06-04T06:24:00Z</dcterms:created>
  <dcterms:modified xsi:type="dcterms:W3CDTF">2026-06-04T07:29:00Z</dcterms:modified>
</cp:coreProperties>
</file>