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jc w:val="center"/>
      </w:pPr>
      <w:r>
        <w:rPr>
          <w:rFonts w:ascii="Times New Roman" w:cs="Times New Roman" w:eastAsia="Times New Roman" w:hAnsi="Times New Roman"/>
          <w:b/>
          <w:bCs/>
          <w:i w:val="false"/>
          <w:iCs w:val="false"/>
          <w:color w:val="111111"/>
          <w:sz w:val="30"/>
          <w:szCs w:val="30"/>
        </w:rPr>
        <w:t xml:space="preserve">BARRIÈRES À L'ADOPTION DE L'ISO 14001</w:t>
      </w:r>
    </w:p>
    <w:p>
      <w:pPr>
        <w:spacing w:after="60" w:before="0"/>
        <w:jc w:val="center"/>
      </w:pPr>
      <w:r>
        <w:rPr>
          <w:rFonts w:ascii="Times New Roman" w:cs="Times New Roman" w:eastAsia="Times New Roman" w:hAnsi="Times New Roman"/>
          <w:b/>
          <w:bCs/>
          <w:i w:val="false"/>
          <w:iCs w:val="false"/>
          <w:color w:val="111111"/>
          <w:sz w:val="28"/>
          <w:szCs w:val="28"/>
        </w:rPr>
        <w:t xml:space="preserve">DANS LES ENTREPRISES INDUSTRIELLES ALGÉRIENNES</w:t>
      </w:r>
    </w:p>
    <w:p>
      <w:pPr>
        <w:spacing w:after="120" w:before="0"/>
        <w:jc w:val="center"/>
      </w:pPr>
      <w:r>
        <w:rPr>
          <w:rFonts w:ascii="Times New Roman" w:cs="Times New Roman" w:eastAsia="Times New Roman" w:hAnsi="Times New Roman"/>
          <w:b w:val="false"/>
          <w:bCs w:val="false"/>
          <w:i/>
          <w:iCs/>
          <w:color w:val="111111"/>
          <w:sz w:val="22"/>
          <w:szCs w:val="22"/>
        </w:rPr>
        <w:t xml:space="preserve">Analyse documentaire multi-niveaux et implications pour la diversification économique hors hydrocarbures</w:t>
      </w:r>
    </w:p>
    <w:p>
      <w:pPr>
        <w:spacing w:after="40" w:before="40"/>
      </w:pPr>
    </w:p>
    <w:p>
      <w:pPr>
        <w:spacing w:after="60" w:before="0"/>
        <w:jc w:val="center"/>
      </w:pPr>
      <w:r>
        <w:rPr>
          <w:rFonts w:ascii="Times New Roman" w:cs="Times New Roman" w:eastAsia="Times New Roman" w:hAnsi="Times New Roman"/>
          <w:b/>
          <w:bCs/>
          <w:i w:val="false"/>
          <w:iCs w:val="false"/>
          <w:color w:val="111111"/>
          <w:sz w:val="26"/>
          <w:szCs w:val="26"/>
        </w:rPr>
        <w:t xml:space="preserve">BARRIERS TO ISO 14001 ADOPTION IN ALGERIAN INDUSTRIAL FIRMS</w:t>
      </w:r>
    </w:p>
    <w:p>
      <w:pPr>
        <w:spacing w:after="120" w:before="0"/>
        <w:jc w:val="center"/>
      </w:pPr>
      <w:r>
        <w:rPr>
          <w:rFonts w:ascii="Times New Roman" w:cs="Times New Roman" w:eastAsia="Times New Roman" w:hAnsi="Times New Roman"/>
          <w:b w:val="false"/>
          <w:bCs w:val="false"/>
          <w:i/>
          <w:iCs/>
          <w:color w:val="111111"/>
          <w:sz w:val="22"/>
          <w:szCs w:val="22"/>
        </w:rPr>
        <w:t xml:space="preserve">A multi-level documentary analysis and implications for non-hydrocarbon economic diversification</w:t>
      </w:r>
    </w:p>
    <w:p>
      <w:pPr>
        <w:spacing w:after="120" w:before="120"/>
      </w:pPr>
    </w:p>
    <w:p>
      <w:pPr>
        <w:spacing w:after="40" w:before="0"/>
        <w:jc w:val="center"/>
      </w:pPr>
      <w:r>
        <w:rPr>
          <w:rFonts w:ascii="Times New Roman" w:cs="Times New Roman" w:eastAsia="Times New Roman" w:hAnsi="Times New Roman"/>
          <w:b/>
          <w:bCs/>
          <w:i w:val="false"/>
          <w:iCs w:val="false"/>
          <w:color w:val="111111"/>
          <w:sz w:val="24"/>
          <w:szCs w:val="24"/>
        </w:rPr>
        <w:t xml:space="preserve">Bouzaroura Chérif</w:t>
      </w:r>
    </w:p>
    <w:p>
      <w:pPr>
        <w:spacing w:after="40" w:before="0"/>
        <w:jc w:val="center"/>
      </w:pPr>
      <w:r>
        <w:rPr>
          <w:rFonts w:ascii="Times New Roman" w:cs="Times New Roman" w:eastAsia="Times New Roman" w:hAnsi="Times New Roman"/>
          <w:b w:val="false"/>
          <w:bCs w:val="false"/>
          <w:i/>
          <w:iCs/>
          <w:color w:val="111111"/>
          <w:sz w:val="22"/>
          <w:szCs w:val="22"/>
        </w:rPr>
        <w:t xml:space="preserve">Ingénieur en Sciences de l'Environnement (Diplôme N° 075.01.0161)</w:t>
      </w:r>
    </w:p>
    <w:p>
      <w:pPr>
        <w:spacing w:after="40" w:before="0"/>
        <w:jc w:val="center"/>
      </w:pPr>
      <w:r>
        <w:rPr>
          <w:rFonts w:ascii="Times New Roman" w:cs="Times New Roman" w:eastAsia="Times New Roman" w:hAnsi="Times New Roman"/>
          <w:b w:val="false"/>
          <w:bCs w:val="false"/>
          <w:i w:val="false"/>
          <w:iCs w:val="false"/>
          <w:color w:val="111111"/>
          <w:sz w:val="22"/>
          <w:szCs w:val="22"/>
        </w:rPr>
        <w:t xml:space="preserve">Directeur Zone Afrique &amp; Moyen-Orient</w:t>
      </w:r>
    </w:p>
    <w:p>
      <w:pPr>
        <w:spacing w:after="40" w:before="0"/>
        <w:jc w:val="center"/>
      </w:pPr>
      <w:r>
        <w:rPr>
          <w:rFonts w:ascii="Times New Roman" w:cs="Times New Roman" w:eastAsia="Times New Roman" w:hAnsi="Times New Roman"/>
          <w:b/>
          <w:bCs/>
          <w:i w:val="false"/>
          <w:iCs w:val="false"/>
          <w:color w:val="111111"/>
          <w:sz w:val="22"/>
          <w:szCs w:val="22"/>
        </w:rPr>
        <w:t xml:space="preserve">GWP International Academy</w:t>
      </w:r>
    </w:p>
    <w:p>
      <w:pPr>
        <w:spacing w:after="40" w:before="0"/>
        <w:jc w:val="center"/>
      </w:pPr>
      <w:r>
        <w:rPr>
          <w:rFonts w:ascii="Times New Roman" w:cs="Times New Roman" w:eastAsia="Times New Roman" w:hAnsi="Times New Roman"/>
          <w:b w:val="false"/>
          <w:bCs w:val="false"/>
          <w:i w:val="false"/>
          <w:iCs w:val="false"/>
          <w:color w:val="1A6B5A"/>
          <w:sz w:val="22"/>
          <w:szCs w:val="22"/>
        </w:rPr>
        <w:t xml:space="preserve">gwtmarielefebvre@green-world-planet.com</w:t>
      </w:r>
    </w:p>
    <w:p>
      <w:pPr>
        <w:spacing w:after="0" w:before="0"/>
        <w:jc w:val="center"/>
      </w:pPr>
      <w:r>
        <w:rPr>
          <w:rFonts w:ascii="Times New Roman" w:cs="Times New Roman" w:eastAsia="Times New Roman" w:hAnsi="Times New Roman"/>
          <w:b w:val="false"/>
          <w:bCs w:val="false"/>
          <w:i w:val="false"/>
          <w:iCs w:val="false"/>
          <w:color w:val="111111"/>
          <w:sz w:val="22"/>
          <w:szCs w:val="22"/>
        </w:rPr>
        <w:t xml:space="preserve">Paris / Alger, Juin 2025</w:t>
      </w:r>
    </w:p>
    <w:p>
      <w:r>
        <w:br w:type="page"/>
      </w:r>
    </w:p>
    <w:p>
      <w:pPr>
        <w:spacing w:after="80" w:before="0"/>
        <w:jc w:val="center"/>
      </w:pPr>
      <w:r>
        <w:rPr>
          <w:rFonts w:ascii="Times New Roman" w:cs="Times New Roman" w:eastAsia="Times New Roman" w:hAnsi="Times New Roman"/>
          <w:b/>
          <w:bCs/>
          <w:i w:val="false"/>
          <w:iCs w:val="false"/>
          <w:color w:val="111111"/>
          <w:sz w:val="24"/>
          <w:szCs w:val="24"/>
        </w:rPr>
        <w:t xml:space="preserve">BARRIÈRES À L'ADOPTION DE L'ISO 14001 DANS LES ENTREPRISES INDUSTRIELLES ALGÉRIENNES</w:t>
      </w:r>
    </w:p>
    <w:p>
      <w:pPr>
        <w:spacing w:after="60" w:before="60"/>
      </w:pPr>
    </w:p>
    <w:p>
      <w:pPr>
        <w:spacing w:after="40" w:before="0"/>
      </w:pPr>
      <w:r>
        <w:rPr>
          <w:rFonts w:ascii="Times New Roman" w:cs="Times New Roman" w:eastAsia="Times New Roman" w:hAnsi="Times New Roman"/>
          <w:b/>
          <w:bCs/>
          <w:i w:val="false"/>
          <w:iCs w:val="false"/>
          <w:color w:val="111111"/>
          <w:sz w:val="24"/>
          <w:szCs w:val="24"/>
        </w:rPr>
        <w:t xml:space="preserve">Résumé :</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Malgré un tissu industriel d'environ un million d'entreprises, l'Algérie ne comptait que 123 certifications ISO 14001 en 2024, très en retrait par rapport au Maroc (312), à la Tunisie (198) et à l'Égypte (614). Cet article analyse les barrières structurelles, institutionnelles et culturelles qui freinent l'adoption de la norme dans les entreprises industrielles algériennes de taille intermédiaire, en mobilisant le cadre théorique de l'isomorphisme institutionnel (DiMaggio &amp; Powell, 1983). Six catégories de barrières sont identifiées et reliées au mécanisme d'ajustement carbone aux frontières (CBAM) de l'Union européenne, qui menacera directement les exportations algériennes de ciment, acier et engrais à partir de 2026. Une contribution originale de cet article est l'analyse des interactions entre les outils du droit algérien de l'environnement et les exigences d'ISO 14001 (outils cumulatifs, facilitateurs, complexifiants, contradictoires). Six recommandations différenciées sont formulées à destination des décideurs publics, des organismes de formation et des donneurs d'ordre internationaux.</w:t>
      </w:r>
    </w:p>
    <w:p>
      <w:pPr>
        <w:spacing w:after="40" w:before="40"/>
      </w:pPr>
    </w:p>
    <w:p>
      <w:pPr>
        <w:spacing w:after="40" w:before="0"/>
      </w:pPr>
      <w:r>
        <w:rPr>
          <w:rFonts w:ascii="Times New Roman" w:cs="Times New Roman" w:eastAsia="Times New Roman" w:hAnsi="Times New Roman"/>
          <w:b/>
          <w:bCs/>
          <w:i w:val="false"/>
          <w:iCs w:val="false"/>
          <w:color w:val="111111"/>
          <w:sz w:val="24"/>
          <w:szCs w:val="24"/>
        </w:rPr>
        <w:t xml:space="preserve">Mots-clés : </w:t>
      </w:r>
      <w:r>
        <w:rPr>
          <w:rFonts w:ascii="Times New Roman" w:cs="Times New Roman" w:eastAsia="Times New Roman" w:hAnsi="Times New Roman"/>
          <w:b w:val="false"/>
          <w:bCs w:val="false"/>
          <w:i/>
          <w:iCs/>
          <w:color w:val="111111"/>
          <w:sz w:val="24"/>
          <w:szCs w:val="24"/>
        </w:rPr>
        <w:t xml:space="preserve">ISO 14001 ; Algérie ; Barrières à la certification ; Isomorphisme institutionnel ; CBAM</w:t>
      </w:r>
    </w:p>
    <w:p>
      <w:pPr>
        <w:spacing w:after="120" w:before="120"/>
      </w:pPr>
    </w:p>
    <w:p>
      <w:pPr>
        <w:spacing w:after="40" w:before="0"/>
      </w:pPr>
      <w:r>
        <w:rPr>
          <w:rFonts w:ascii="Times New Roman" w:cs="Times New Roman" w:eastAsia="Times New Roman" w:hAnsi="Times New Roman"/>
          <w:b/>
          <w:bCs/>
          <w:i w:val="false"/>
          <w:iCs w:val="false"/>
          <w:color w:val="111111"/>
          <w:sz w:val="24"/>
          <w:szCs w:val="24"/>
        </w:rPr>
        <w:t xml:space="preserve">Abstract:</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Despite an industrial base of approximately one million enterprises, Algeria recorded only 123 ISO 14001 certifications in 2024, significantly behind Morocco (312), Tunisia (198) and Egypt (614). This paper analyses the structural, institutional and cultural barriers hindering ISO 14001 adoption among Algerian mid-sized industrial firms, using the theoretical framework of institutional isomorphism (DiMaggio &amp; Powell, 1983). Six barrier categories are identified and connected to the EU Carbon Border Adjustment Mechanism (CBAM), which will directly impact Algeria's main non-hydrocarbon exports, cement, steel, fertilisers, from 2026. An original contribution is the analysis of interactions between existing Algerian environmental law tools and ISO 14001 requirements (cumulative, facilitating, complexifying, contradictory tools). Six differentiated recommendations are formulated for public decision-makers, training institutions and international buyers.</w:t>
      </w:r>
    </w:p>
    <w:p>
      <w:pPr>
        <w:spacing w:after="40" w:before="40"/>
      </w:pPr>
    </w:p>
    <w:p>
      <w:pPr>
        <w:spacing w:after="0" w:before="0"/>
      </w:pPr>
      <w:r>
        <w:rPr>
          <w:rFonts w:ascii="Times New Roman" w:cs="Times New Roman" w:eastAsia="Times New Roman" w:hAnsi="Times New Roman"/>
          <w:b/>
          <w:bCs/>
          <w:i w:val="false"/>
          <w:iCs w:val="false"/>
          <w:color w:val="111111"/>
          <w:sz w:val="24"/>
          <w:szCs w:val="24"/>
        </w:rPr>
        <w:t xml:space="preserve">Keywords: </w:t>
      </w:r>
      <w:r>
        <w:rPr>
          <w:rFonts w:ascii="Times New Roman" w:cs="Times New Roman" w:eastAsia="Times New Roman" w:hAnsi="Times New Roman"/>
          <w:b w:val="false"/>
          <w:bCs w:val="false"/>
          <w:i/>
          <w:iCs/>
          <w:color w:val="111111"/>
          <w:sz w:val="24"/>
          <w:szCs w:val="24"/>
        </w:rPr>
        <w:t xml:space="preserve">ISO 14001; Algeria; Certification barriers; Institutional isomorphism; CBAM</w:t>
      </w:r>
    </w:p>
    <w:p>
      <w:r>
        <w:br w:type="pag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8B1A1A" w:sz="4"/>
              <w:left w:val="single" w:color="8B1A1A" w:sz="4"/>
              <w:bottom w:val="single" w:color="8B1A1A" w:sz="4"/>
              <w:right w:val="single" w:color="8B1A1A" w:sz="4"/>
            </w:tcBorders>
            <w:shd w:fill="FEF2F2" w:val="clear"/>
            <w:tcMar>
              <w:top w:type="dxa" w:w="100"/>
              <w:left w:type="dxa" w:w="200"/>
              <w:bottom w:type="dxa" w:w="100"/>
              <w:right w:type="dxa" w:w="200"/>
            </w:tcMar>
          </w:tcPr>
          <w:p>
            <w:pPr>
              <w:spacing w:after="60" w:before="60" w:line="360"/>
              <w:jc w:val="both"/>
            </w:pPr>
            <w:r>
              <w:rPr>
                <w:rFonts w:ascii="Times New Roman" w:cs="Times New Roman" w:eastAsia="Times New Roman" w:hAnsi="Times New Roman"/>
                <w:b/>
                <w:bCs/>
                <w:i w:val="false"/>
                <w:iCs w:val="false"/>
                <w:color w:val="8B1A1A"/>
                <w:sz w:val="22"/>
                <w:szCs w:val="22"/>
              </w:rPr>
              <w:t xml:space="preserve">Déclaration de conflits d'intérêts : </w:t>
            </w:r>
            <w:r>
              <w:rPr>
                <w:rFonts w:ascii="Times New Roman" w:cs="Times New Roman" w:eastAsia="Times New Roman" w:hAnsi="Times New Roman"/>
                <w:b w:val="false"/>
                <w:bCs w:val="false"/>
                <w:i/>
                <w:iCs/>
                <w:color w:val="111111"/>
                <w:sz w:val="22"/>
                <w:szCs w:val="22"/>
              </w:rPr>
              <w:t xml:space="preserve">L'auteur est Directeur Zone Afrique &amp; Moyen-Orient de GWP International Academy, référentiel qualité en ingénierie verte actif en Algérie. Il peut bénéficier d'un développement de la demande en formation ISO 14001. Ce positionnement peut conduire à surévaluer le rôle de la formation dans les recommandations. Cet article repose exclusivement sur une analyse documentaire, aucune donnée primaire n'a été collectée.</w:t>
            </w:r>
          </w:p>
        </w:tc>
      </w:tr>
    </w:tbl>
    <w:p>
      <w:pPr>
        <w:spacing w:after="160" w:before="160"/>
      </w:pPr>
    </w:p>
    <w:p>
      <w:pPr>
        <w:spacing w:after="80" w:before="240"/>
        <w:jc w:val="left"/>
      </w:pPr>
      <w:r>
        <w:rPr>
          <w:rFonts w:ascii="Times New Roman" w:cs="Times New Roman" w:eastAsia="Times New Roman" w:hAnsi="Times New Roman"/>
          <w:b/>
          <w:bCs/>
          <w:i w:val="false"/>
          <w:iCs w:val="false"/>
          <w:color w:val="111111"/>
          <w:sz w:val="26"/>
          <w:szCs w:val="26"/>
        </w:rPr>
        <w:t xml:space="preserve">1. Introduction</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En 2024, l'Algérie comptait environ 123 entreprises certifiées ISO 14001, sur un million d'entreprises recensées (CNRC, 2023). Le chiffre est à prendre avec précaution : les données algériennes sont fragmentaires, certaines certifications délivrées par des organismes hors réseau ISO ne sont pas comptabilisées (ISO Survey, 2023). Même en retenant une fourchette haute de 200 à 250, le retard est réel et documenté.</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Ce qui est frappant, c'est l'écart avec les voisins. En 2007, l'Algérie avait 17 certifications, l'Égypte en avait 306. En 2023, le Maroc dépasse les 300, la Tunisie approche les 200, l'Égypte les 600. Des pays qui partagent le même contexte culturel et des économies comparables. L'argument selon lequel le contexte nord-africain serait structurellement défavorable à la normalisation ne tient pas.</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Le gouvernement algérien vise 29 milliards de dollars d'exportations hors hydrocarbures d'ici 2030. En 2023, il en était à 5,1 milliards, contre un objectif de 13 (Banque mondiale, 2024). Les produits exportés réellement (ciment, acier, engrais) sont précisément ceux que l'Union européenne va taxer via le mécanisme d'ajustement carbone aux frontières (CBAM) à partir de 2026. Sans données carbone formalisées et vérifiables, les exportateurs paieront la taxe au taux maximum.</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La question de cet article est la suivante : pourquoi les dirigeants d'entreprises industrielles algériennes de plus de 250 salariés ne s'engagent-ils pas dans la certification ISO 14001, et comment les barrières identifiées se connectent-elles à l'enjeu de la diversification hors hydrocarbures ? Notre thèse : cette résistance n'est pas de l'inertie culturelle. C'est un calcul rationnel dans un environnement sans incitation, un calcul qui va devenir dangereux dès 2026.</w:t>
      </w:r>
    </w:p>
    <w:p>
      <w:pPr>
        <w:spacing w:after="80" w:before="80"/>
      </w:pPr>
    </w:p>
    <w:p>
      <w:pPr>
        <w:spacing w:after="80" w:before="240"/>
        <w:jc w:val="left"/>
      </w:pPr>
      <w:r>
        <w:rPr>
          <w:rFonts w:ascii="Times New Roman" w:cs="Times New Roman" w:eastAsia="Times New Roman" w:hAnsi="Times New Roman"/>
          <w:b/>
          <w:bCs/>
          <w:i w:val="false"/>
          <w:iCs w:val="false"/>
          <w:color w:val="111111"/>
          <w:sz w:val="26"/>
          <w:szCs w:val="26"/>
        </w:rPr>
        <w:t xml:space="preserve">2. Positionnement régional, Algérie, Maroc, Tunisie, Égypte</w:t>
      </w:r>
    </w:p>
    <w:p>
      <w:pPr>
        <w:spacing w:after="60" w:before="160"/>
        <w:jc w:val="left"/>
      </w:pPr>
      <w:r>
        <w:rPr>
          <w:rFonts w:ascii="Times New Roman" w:cs="Times New Roman" w:eastAsia="Times New Roman" w:hAnsi="Times New Roman"/>
          <w:b/>
          <w:bCs/>
          <w:i w:val="false"/>
          <w:iCs w:val="false"/>
          <w:color w:val="111111"/>
          <w:sz w:val="24"/>
          <w:szCs w:val="24"/>
        </w:rPr>
        <w:t xml:space="preserve">2.1. Les données comparatives</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Un chiffre résume la difficulté de l'argument culturaliste : l'Égypte, le Maroc et la Tunisie, qui partagent le même contexte religieux et des économies comparables, certifient leurs entreprises à un rythme de 2 à 8 fois supérieur à celui de l'Algérie.</w:t>
      </w:r>
    </w:p>
    <w:p>
      <w:pPr>
        <w:spacing w:after="60" w:before="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00"/>
        <w:gridCol w:w="1600"/>
        <w:gridCol w:w="1600"/>
        <w:gridCol w:w="1600"/>
        <w:gridCol w:w="2000"/>
      </w:tblGrid>
      <w:tr>
        <w:trPr>
          <w:tblHeader/>
        </w:trPr>
        <w:tc>
          <w:tcPr>
            <w:tcW w:type="dxa" w:w="2200"/>
            <w:tcBorders>
              <w:top w:val="single" w:color="1A2D4A" w:sz="4"/>
              <w:left w:val="single" w:color="1A2D4A" w:sz="4"/>
              <w:bottom w:val="single" w:color="1A2D4A" w:sz="4"/>
              <w:right w:val="single" w:color="1A2D4A" w:sz="4"/>
            </w:tcBorders>
            <w:shd w:fill="1A2D4A" w:val="clear"/>
            <w:tcMar>
              <w:top w:type="dxa" w:w="50"/>
              <w:left w:type="dxa" w:w="80"/>
              <w:bottom w:type="dxa" w:w="50"/>
              <w:right w:type="dxa" w:w="80"/>
            </w:tcMar>
          </w:tcPr>
          <w:p>
            <w:pPr>
              <w:spacing w:after="0" w:before="0"/>
              <w:jc w:val="center"/>
            </w:pPr>
            <w:r>
              <w:rPr>
                <w:rFonts w:ascii="Times New Roman" w:cs="Times New Roman" w:eastAsia="Times New Roman" w:hAnsi="Times New Roman"/>
                <w:b/>
                <w:bCs/>
                <w:i w:val="false"/>
                <w:iCs w:val="false"/>
                <w:color w:val="FFFFFF"/>
                <w:sz w:val="20"/>
                <w:szCs w:val="20"/>
              </w:rPr>
              <w:t xml:space="preserve">Pays</w:t>
            </w:r>
          </w:p>
        </w:tc>
        <w:tc>
          <w:tcPr>
            <w:tcW w:type="dxa" w:w="1600"/>
            <w:tcBorders>
              <w:top w:val="single" w:color="1A2D4A" w:sz="4"/>
              <w:left w:val="single" w:color="1A2D4A" w:sz="4"/>
              <w:bottom w:val="single" w:color="1A2D4A" w:sz="4"/>
              <w:right w:val="single" w:color="1A2D4A" w:sz="4"/>
            </w:tcBorders>
            <w:shd w:fill="1A2D4A" w:val="clear"/>
            <w:tcMar>
              <w:top w:type="dxa" w:w="50"/>
              <w:left w:type="dxa" w:w="80"/>
              <w:bottom w:type="dxa" w:w="50"/>
              <w:right w:type="dxa" w:w="80"/>
            </w:tcMar>
          </w:tcPr>
          <w:p>
            <w:pPr>
              <w:spacing w:after="0" w:before="0"/>
              <w:jc w:val="center"/>
            </w:pPr>
            <w:r>
              <w:rPr>
                <w:rFonts w:ascii="Times New Roman" w:cs="Times New Roman" w:eastAsia="Times New Roman" w:hAnsi="Times New Roman"/>
                <w:b/>
                <w:bCs/>
                <w:i w:val="false"/>
                <w:iCs w:val="false"/>
                <w:color w:val="FFFFFF"/>
                <w:sz w:val="20"/>
                <w:szCs w:val="20"/>
              </w:rPr>
              <w:t xml:space="preserve">Certif. 2007</w:t>
            </w:r>
          </w:p>
        </w:tc>
        <w:tc>
          <w:tcPr>
            <w:tcW w:type="dxa" w:w="1600"/>
            <w:tcBorders>
              <w:top w:val="single" w:color="1A2D4A" w:sz="4"/>
              <w:left w:val="single" w:color="1A2D4A" w:sz="4"/>
              <w:bottom w:val="single" w:color="1A2D4A" w:sz="4"/>
              <w:right w:val="single" w:color="1A2D4A" w:sz="4"/>
            </w:tcBorders>
            <w:shd w:fill="1A2D4A" w:val="clear"/>
            <w:tcMar>
              <w:top w:type="dxa" w:w="50"/>
              <w:left w:type="dxa" w:w="80"/>
              <w:bottom w:type="dxa" w:w="50"/>
              <w:right w:type="dxa" w:w="80"/>
            </w:tcMar>
          </w:tcPr>
          <w:p>
            <w:pPr>
              <w:spacing w:after="0" w:before="0"/>
              <w:jc w:val="center"/>
            </w:pPr>
            <w:r>
              <w:rPr>
                <w:rFonts w:ascii="Times New Roman" w:cs="Times New Roman" w:eastAsia="Times New Roman" w:hAnsi="Times New Roman"/>
                <w:b/>
                <w:bCs/>
                <w:i w:val="false"/>
                <w:iCs w:val="false"/>
                <w:color w:val="FFFFFF"/>
                <w:sz w:val="20"/>
                <w:szCs w:val="20"/>
              </w:rPr>
              <w:t xml:space="preserve">Certif. 2023</w:t>
            </w:r>
          </w:p>
        </w:tc>
        <w:tc>
          <w:tcPr>
            <w:tcW w:type="dxa" w:w="1600"/>
            <w:tcBorders>
              <w:top w:val="single" w:color="1A2D4A" w:sz="4"/>
              <w:left w:val="single" w:color="1A2D4A" w:sz="4"/>
              <w:bottom w:val="single" w:color="1A2D4A" w:sz="4"/>
              <w:right w:val="single" w:color="1A2D4A" w:sz="4"/>
            </w:tcBorders>
            <w:shd w:fill="1A2D4A" w:val="clear"/>
            <w:tcMar>
              <w:top w:type="dxa" w:w="50"/>
              <w:left w:type="dxa" w:w="80"/>
              <w:bottom w:type="dxa" w:w="50"/>
              <w:right w:type="dxa" w:w="80"/>
            </w:tcMar>
          </w:tcPr>
          <w:p>
            <w:pPr>
              <w:spacing w:after="0" w:before="0"/>
              <w:jc w:val="center"/>
            </w:pPr>
            <w:r>
              <w:rPr>
                <w:rFonts w:ascii="Times New Roman" w:cs="Times New Roman" w:eastAsia="Times New Roman" w:hAnsi="Times New Roman"/>
                <w:b/>
                <w:bCs/>
                <w:i w:val="false"/>
                <w:iCs w:val="false"/>
                <w:color w:val="FFFFFF"/>
                <w:sz w:val="20"/>
                <w:szCs w:val="20"/>
              </w:rPr>
              <w:t xml:space="preserve">Croissance</w:t>
            </w:r>
          </w:p>
        </w:tc>
        <w:tc>
          <w:tcPr>
            <w:tcW w:type="dxa" w:w="2000"/>
            <w:tcBorders>
              <w:top w:val="single" w:color="1A2D4A" w:sz="4"/>
              <w:left w:val="single" w:color="1A2D4A" w:sz="4"/>
              <w:bottom w:val="single" w:color="1A2D4A" w:sz="4"/>
              <w:right w:val="single" w:color="1A2D4A" w:sz="4"/>
            </w:tcBorders>
            <w:shd w:fill="1A2D4A" w:val="clear"/>
            <w:tcMar>
              <w:top w:type="dxa" w:w="50"/>
              <w:left w:type="dxa" w:w="80"/>
              <w:bottom w:type="dxa" w:w="50"/>
              <w:right w:type="dxa" w:w="80"/>
            </w:tcMar>
          </w:tcPr>
          <w:p>
            <w:pPr>
              <w:spacing w:after="0" w:before="0"/>
              <w:jc w:val="center"/>
            </w:pPr>
            <w:r>
              <w:rPr>
                <w:rFonts w:ascii="Times New Roman" w:cs="Times New Roman" w:eastAsia="Times New Roman" w:hAnsi="Times New Roman"/>
                <w:b/>
                <w:bCs/>
                <w:i w:val="false"/>
                <w:iCs w:val="false"/>
                <w:color w:val="FFFFFF"/>
                <w:sz w:val="20"/>
                <w:szCs w:val="20"/>
              </w:rPr>
              <w:t xml:space="preserve">Part export. hors HC</w:t>
            </w:r>
          </w:p>
        </w:tc>
      </w:tr>
      <w:tr>
        <w:tc>
          <w:tcPr>
            <w:tcW w:type="dxa" w:w="22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Algérie</w:t>
            </w:r>
          </w:p>
        </w:tc>
        <w:tc>
          <w:tcPr>
            <w:tcW w:type="dxa" w:w="16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17</w:t>
            </w:r>
          </w:p>
        </w:tc>
        <w:tc>
          <w:tcPr>
            <w:tcW w:type="dxa" w:w="16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~123</w:t>
            </w:r>
          </w:p>
        </w:tc>
        <w:tc>
          <w:tcPr>
            <w:tcW w:type="dxa" w:w="16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×7</w:t>
            </w:r>
          </w:p>
        </w:tc>
        <w:tc>
          <w:tcPr>
            <w:tcW w:type="dxa" w:w="20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~10%</w:t>
            </w:r>
          </w:p>
        </w:tc>
      </w:tr>
      <w:tr>
        <w:tc>
          <w:tcPr>
            <w:tcW w:type="dxa" w:w="22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Maroc</w:t>
            </w:r>
          </w:p>
        </w:tc>
        <w:tc>
          <w:tcPr>
            <w:tcW w:type="dxa" w:w="16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39</w:t>
            </w:r>
          </w:p>
        </w:tc>
        <w:tc>
          <w:tcPr>
            <w:tcW w:type="dxa" w:w="16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~312</w:t>
            </w:r>
          </w:p>
        </w:tc>
        <w:tc>
          <w:tcPr>
            <w:tcW w:type="dxa" w:w="16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×8</w:t>
            </w:r>
          </w:p>
        </w:tc>
        <w:tc>
          <w:tcPr>
            <w:tcW w:type="dxa" w:w="20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~65%</w:t>
            </w:r>
          </w:p>
        </w:tc>
      </w:tr>
      <w:tr>
        <w:tc>
          <w:tcPr>
            <w:tcW w:type="dxa" w:w="22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Tunisie</w:t>
            </w:r>
          </w:p>
        </w:tc>
        <w:tc>
          <w:tcPr>
            <w:tcW w:type="dxa" w:w="16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67</w:t>
            </w:r>
          </w:p>
        </w:tc>
        <w:tc>
          <w:tcPr>
            <w:tcW w:type="dxa" w:w="16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~198</w:t>
            </w:r>
          </w:p>
        </w:tc>
        <w:tc>
          <w:tcPr>
            <w:tcW w:type="dxa" w:w="16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×3</w:t>
            </w:r>
          </w:p>
        </w:tc>
        <w:tc>
          <w:tcPr>
            <w:tcW w:type="dxa" w:w="20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~85%</w:t>
            </w:r>
          </w:p>
        </w:tc>
      </w:tr>
      <w:tr>
        <w:tc>
          <w:tcPr>
            <w:tcW w:type="dxa" w:w="22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Égypte</w:t>
            </w:r>
          </w:p>
        </w:tc>
        <w:tc>
          <w:tcPr>
            <w:tcW w:type="dxa" w:w="16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306</w:t>
            </w:r>
          </w:p>
        </w:tc>
        <w:tc>
          <w:tcPr>
            <w:tcW w:type="dxa" w:w="16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~614</w:t>
            </w:r>
          </w:p>
        </w:tc>
        <w:tc>
          <w:tcPr>
            <w:tcW w:type="dxa" w:w="16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×2</w:t>
            </w:r>
          </w:p>
        </w:tc>
        <w:tc>
          <w:tcPr>
            <w:tcW w:type="dxa" w:w="20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~70%</w:t>
            </w:r>
          </w:p>
        </w:tc>
      </w:tr>
    </w:tbl>
    <w:p>
      <w:pPr>
        <w:spacing w:after="40" w:before="40"/>
      </w:pPr>
    </w:p>
    <w:p>
      <w:pPr>
        <w:spacing w:after="60" w:before="60" w:line="360"/>
        <w:jc w:val="both"/>
      </w:pPr>
      <w:r>
        <w:rPr>
          <w:rFonts w:ascii="Times New Roman" w:cs="Times New Roman" w:eastAsia="Times New Roman" w:hAnsi="Times New Roman"/>
          <w:b/>
          <w:bCs/>
          <w:i w:val="false"/>
          <w:iCs w:val="false"/>
          <w:color w:val="444444"/>
          <w:sz w:val="20"/>
          <w:szCs w:val="20"/>
        </w:rPr>
        <w:t xml:space="preserve">Sources : </w:t>
      </w:r>
      <w:r>
        <w:rPr>
          <w:rFonts w:ascii="Times New Roman" w:cs="Times New Roman" w:eastAsia="Times New Roman" w:hAnsi="Times New Roman"/>
          <w:b w:val="false"/>
          <w:bCs w:val="false"/>
          <w:i/>
          <w:iCs/>
          <w:color w:val="444444"/>
          <w:sz w:val="20"/>
          <w:szCs w:val="20"/>
        </w:rPr>
        <w:t xml:space="preserve">ISO Survey (2023) ; IANOR (2019) ; Banque mondiale (2024). Estimations consolidées.</w:t>
      </w:r>
    </w:p>
    <w:p>
      <w:pPr>
        <w:spacing w:after="60" w:before="60"/>
      </w:pPr>
    </w:p>
    <w:p>
      <w:pPr>
        <w:spacing w:after="60" w:before="60" w:line="360"/>
        <w:jc w:val="both"/>
      </w:pPr>
      <w:r>
        <w:rPr>
          <w:rFonts w:ascii="Times New Roman" w:cs="Times New Roman" w:eastAsia="Times New Roman" w:hAnsi="Times New Roman"/>
          <w:b w:val="false"/>
          <w:bCs w:val="false"/>
          <w:i w:val="false"/>
          <w:iCs w:val="false"/>
          <w:color w:val="111111"/>
          <w:sz w:val="24"/>
          <w:szCs w:val="24"/>
        </w:rPr>
        <w:t>L'Algérie a la progression la plus faible en valeur absolue, malgré un PIB par habitant comparable à ses voisins. Le fait le plus instructif : les pays qui exportent le plus hors hydrocarbures sont aussi les plus certifiés ISO 14001. Ce n'est pas une coïncidence.</w:t>
      </w:r>
    </w:p>
    <w:p>
      <w:pPr>
        <w:spacing w:after="60" w:before="160"/>
        <w:jc w:val="left"/>
      </w:pPr>
      <w:r>
        <w:rPr>
          <w:rFonts w:ascii="Times New Roman" w:cs="Times New Roman" w:eastAsia="Times New Roman" w:hAnsi="Times New Roman"/>
          <w:b/>
          <w:bCs/>
          <w:i w:val="false"/>
          <w:iCs w:val="false"/>
          <w:color w:val="111111"/>
          <w:sz w:val="24"/>
          <w:szCs w:val="24"/>
        </w:rPr>
        <w:t xml:space="preserve">2.2. Pourquoi le Maroc et la Tunisie ont mieux réussi</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La différence tient d'abord à l'intégration dans les chaînes de valeur européennes. Quand Renault et Stellantis ont installé leurs usines au Maroc, ils ont imposé ISO 14001 à leurs sous-traitants locaux. Airbus a fait de même dans l'aéronautique. La Tunisie a vécu le même phénomène dans le textile. Ce mécanisme de pression par les donneurs d'ordre est absent en Algérie, dont le tissu industriel reste principalement orienté vers le marché domestique.</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L'État joue également un rôle. Le Maroc subventionne jusqu'à 80% du coût de certification via l'ONPQ. La Tunisie conditionne l'accès à certains marchés publics à la certification ISO. L'Algérie n'a pas de mécanisme comparable. Elle compte par ailleurs 7 à 8 organismes certificateurs pour 2,4 millions de km², contre plus de 20 au Maroc, ce qui rend la certification physiquement difficile à obtenir pour les wilayas industrielles éloignées d'Alger.</w:t>
      </w:r>
    </w:p>
    <w:p>
      <w:pPr>
        <w:spacing w:after="80" w:before="80"/>
      </w:pPr>
    </w:p>
    <w:p>
      <w:pPr>
        <w:spacing w:after="80" w:before="240"/>
        <w:jc w:val="left"/>
      </w:pPr>
      <w:r>
        <w:rPr>
          <w:rFonts w:ascii="Times New Roman" w:cs="Times New Roman" w:eastAsia="Times New Roman" w:hAnsi="Times New Roman"/>
          <w:b/>
          <w:bCs/>
          <w:i w:val="false"/>
          <w:iCs w:val="false"/>
          <w:color w:val="111111"/>
          <w:sz w:val="26"/>
          <w:szCs w:val="26"/>
        </w:rPr>
        <w:t xml:space="preserve">3. Cadre théorique</w:t>
      </w:r>
    </w:p>
    <w:p>
      <w:pPr>
        <w:spacing w:after="60" w:before="160"/>
        <w:jc w:val="left"/>
      </w:pPr>
      <w:r>
        <w:rPr>
          <w:rFonts w:ascii="Times New Roman" w:cs="Times New Roman" w:eastAsia="Times New Roman" w:hAnsi="Times New Roman"/>
          <w:b/>
          <w:bCs/>
          <w:i w:val="false"/>
          <w:iCs w:val="false"/>
          <w:color w:val="111111"/>
          <w:sz w:val="24"/>
          <w:szCs w:val="24"/>
        </w:rPr>
        <w:t xml:space="preserve">3.1. Les trois mécanismes d'isomorphisme institutionnel</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DiMaggio et Powell (1983) distinguent trois mécanismes de diffusion des pratiques organisationnelles. L'isomorphisme coercitif résulte de pressions exercées par les organisations dont une entreprise dépend : réglementation, exigences des donneurs d'ordre. L'isomorphisme mimétique découle de l'imitation des organisations perçues comme légitimes. L'isomorphisme normatif provient des pressions professionnelles.</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Dans le cas algérien, les trois mécanismes sont simultanément absents. Pas de contrainte réglementaire appliquée. Pas de pression des concurrents. Pas de corps professionnel qui ferait de la certification une norme du métier. C'est cette triple absence qui explique le blocage, pas la culture, pas les mentalités.</w:t>
      </w:r>
    </w:p>
    <w:p>
      <w:pPr>
        <w:spacing w:after="60" w:before="160"/>
        <w:jc w:val="left"/>
      </w:pPr>
      <w:r>
        <w:rPr>
          <w:rFonts w:ascii="Times New Roman" w:cs="Times New Roman" w:eastAsia="Times New Roman" w:hAnsi="Times New Roman"/>
          <w:b/>
          <w:bCs/>
          <w:i w:val="false"/>
          <w:iCs w:val="false"/>
          <w:color w:val="111111"/>
          <w:sz w:val="24"/>
          <w:szCs w:val="24"/>
        </w:rPr>
        <w:t xml:space="preserve">3.2. Le calcul coût-bénéfice et la théorie des ressources</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Barney (1991) postule que les entreprises allouent leurs ressources aux activités générant un avantage compétitif défendable. La certification ISO 14001 n'est adoptée que si elle génère un avantage valorisable sur le marché cible. Pour une ETI algérienne dont les clients sont principalement domestiques et publics, le calcul est négatif : coût certain, bénéfice diffus. Ce résultat rejoint Dasanayaka et al. (2022), qui montrent que les facteurs économiques sont les barrières les plus déterminantes dans les pays en développement.</w:t>
      </w:r>
    </w:p>
    <w:p>
      <w:pPr>
        <w:spacing w:after="60" w:before="160"/>
        <w:jc w:val="left"/>
      </w:pPr>
      <w:r>
        <w:rPr>
          <w:rFonts w:ascii="Times New Roman" w:cs="Times New Roman" w:eastAsia="Times New Roman" w:hAnsi="Times New Roman"/>
          <w:b/>
          <w:bCs/>
          <w:i w:val="false"/>
          <w:iCs w:val="false"/>
          <w:color w:val="111111"/>
          <w:sz w:val="24"/>
          <w:szCs w:val="24"/>
        </w:rPr>
        <w:t xml:space="preserve">3.3. La certification symbolique vs substantielle</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Heras-Saizarbitoria et Boiral (2013) distinguent l'implémentation symbolique, qui vise l'obtention du certificat sans transformation réelle, et l'implémentation substantielle. Boiral (2007) a montré que la certification symbolique est particulièrement fréquente lorsque la motivation principale est l'accès aux marchés publics, précisément la situation dominante en Algérie.</w:t>
      </w:r>
    </w:p>
    <w:p>
      <w:pPr>
        <w:spacing w:after="80" w:before="80"/>
      </w:pPr>
    </w:p>
    <w:p>
      <w:pPr>
        <w:spacing w:after="80" w:before="240"/>
        <w:jc w:val="left"/>
      </w:pPr>
      <w:r>
        <w:rPr>
          <w:rFonts w:ascii="Times New Roman" w:cs="Times New Roman" w:eastAsia="Times New Roman" w:hAnsi="Times New Roman"/>
          <w:b/>
          <w:bCs/>
          <w:i w:val="false"/>
          <w:iCs w:val="false"/>
          <w:color w:val="111111"/>
          <w:sz w:val="26"/>
          <w:szCs w:val="26"/>
        </w:rPr>
        <w:t xml:space="preserve">4. Avantages et inconvénients objectifs de la certification</w:t>
      </w:r>
    </w:p>
    <w:p>
      <w:pPr>
        <w:spacing w:after="60" w:before="160"/>
        <w:jc w:val="left"/>
      </w:pPr>
      <w:r>
        <w:rPr>
          <w:rFonts w:ascii="Times New Roman" w:cs="Times New Roman" w:eastAsia="Times New Roman" w:hAnsi="Times New Roman"/>
          <w:b/>
          <w:bCs/>
          <w:i w:val="false"/>
          <w:iCs w:val="false"/>
          <w:color w:val="111111"/>
          <w:sz w:val="24"/>
          <w:szCs w:val="24"/>
        </w:rPr>
        <w:t xml:space="preserve">4.1. Les bénéfices réels et leurs conditions d'activation</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La littérature recense des bénéfices opérationnels réels : réduction des consommations d'énergie et d'eau, meilleure gestion des déchets, accès aux marchés d'exportation (Treacy et al., 2019 ; Melnyk et al., 2003). Ce que la littérature dit moins : ces bénéfices ont des conditions d'activation. Le bénéfice opérationnel suppose une implémentation substantielle, pas cosmétique. Le bénéfice commercial suppose que les marchés cibles exigent la certification. Pour une ETI algérienne qui vend à l'État algérien, ni l'une ni l'autre condition n'est remplie.</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Trois bénéfices sont en revanche spécifiques au contexte algérien actuel. Le CBAM d'abord : à partir de 2026, les exportateurs de ciment, d'acier et d'engrais vers l'Europe devront documenter leur empreinte carbone, et ISO 14001 est le cadre qui permet de le faire. La ZLECAF ensuite : la certification peut devenir un avantage concret face aux concurrents marocains et tunisiens déjà certifiés. Enfin, les financements verts de la BEI, de l'IFC et de la BERD, qui conditionnent de plus en plus leurs prêts à des critères environnementaux documentés.</w:t>
      </w:r>
    </w:p>
    <w:p>
      <w:pPr>
        <w:spacing w:after="60" w:before="160"/>
        <w:jc w:val="left"/>
      </w:pPr>
      <w:r>
        <w:rPr>
          <w:rFonts w:ascii="Times New Roman" w:cs="Times New Roman" w:eastAsia="Times New Roman" w:hAnsi="Times New Roman"/>
          <w:b/>
          <w:bCs/>
          <w:i w:val="false"/>
          <w:iCs w:val="false"/>
          <w:color w:val="111111"/>
          <w:sz w:val="24"/>
          <w:szCs w:val="24"/>
        </w:rPr>
        <w:t xml:space="preserve">4.2. Les inconvénients réels</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Le coût direct est estimé entre 12 000 et 28 000 euros pour une ETI de 250 à 500 salariés, incluant conseil, formation, audit initial et audits de surveillance annuels. La durée de mise en place est de 12 à 24 mois dans des conditions optimales. Le risque de certification symbolique est élevé dans un contexte de faible pression client. La dépendance aux consultants externes crée un problème structurel de durabilité documenté par la littérature (Nawrocka &amp; Parker, 2009).</w:t>
      </w:r>
    </w:p>
    <w:p>
      <w:pPr>
        <w:spacing w:after="80" w:before="80"/>
      </w:pPr>
    </w:p>
    <w:p>
      <w:pPr>
        <w:spacing w:after="80" w:before="240"/>
        <w:jc w:val="left"/>
      </w:pPr>
      <w:r>
        <w:rPr>
          <w:rFonts w:ascii="Times New Roman" w:cs="Times New Roman" w:eastAsia="Times New Roman" w:hAnsi="Times New Roman"/>
          <w:b/>
          <w:bCs/>
          <w:i w:val="false"/>
          <w:iCs w:val="false"/>
          <w:color w:val="111111"/>
          <w:sz w:val="26"/>
          <w:szCs w:val="26"/>
        </w:rPr>
        <w:t xml:space="preserve">5. Les six barrières structurelles, analyse par l'isomorphisme institutionnel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00"/>
        <w:gridCol w:w="2600"/>
        <w:gridCol w:w="1900"/>
        <w:gridCol w:w="1200"/>
        <w:gridCol w:w="2900"/>
      </w:tblGrid>
      <w:tr>
        <w:trPr>
          <w:tblHeader/>
        </w:trPr>
        <w:tc>
          <w:tcPr>
            <w:tcW w:type="dxa" w:w="400"/>
            <w:tcBorders>
              <w:top w:val="single" w:color="1A2D4A" w:sz="4"/>
              <w:left w:val="single" w:color="1A2D4A" w:sz="4"/>
              <w:bottom w:val="single" w:color="1A2D4A" w:sz="4"/>
              <w:right w:val="single" w:color="1A2D4A" w:sz="4"/>
            </w:tcBorders>
            <w:shd w:fill="1A2D4A" w:val="clear"/>
            <w:tcMar>
              <w:top w:type="dxa" w:w="50"/>
              <w:left w:type="dxa" w:w="80"/>
              <w:bottom w:type="dxa" w:w="50"/>
              <w:right w:type="dxa" w:w="80"/>
            </w:tcMar>
          </w:tcPr>
          <w:p>
            <w:pPr>
              <w:spacing w:after="0" w:before="0"/>
              <w:jc w:val="center"/>
            </w:pPr>
            <w:r>
              <w:rPr>
                <w:rFonts w:ascii="Times New Roman" w:cs="Times New Roman" w:eastAsia="Times New Roman" w:hAnsi="Times New Roman"/>
                <w:b/>
                <w:bCs/>
                <w:i w:val="false"/>
                <w:iCs w:val="false"/>
                <w:color w:val="FFFFFF"/>
                <w:sz w:val="20"/>
                <w:szCs w:val="20"/>
              </w:rPr>
              <w:t xml:space="preserve">N°</w:t>
            </w:r>
          </w:p>
        </w:tc>
        <w:tc>
          <w:tcPr>
            <w:tcW w:type="dxa" w:w="2600"/>
            <w:tcBorders>
              <w:top w:val="single" w:color="1A2D4A" w:sz="4"/>
              <w:left w:val="single" w:color="1A2D4A" w:sz="4"/>
              <w:bottom w:val="single" w:color="1A2D4A" w:sz="4"/>
              <w:right w:val="single" w:color="1A2D4A" w:sz="4"/>
            </w:tcBorders>
            <w:shd w:fill="1A2D4A" w:val="clear"/>
            <w:tcMar>
              <w:top w:type="dxa" w:w="50"/>
              <w:left w:type="dxa" w:w="80"/>
              <w:bottom w:type="dxa" w:w="50"/>
              <w:right w:type="dxa" w:w="80"/>
            </w:tcMar>
          </w:tcPr>
          <w:p>
            <w:pPr>
              <w:spacing w:after="0" w:before="0"/>
              <w:jc w:val="center"/>
            </w:pPr>
            <w:r>
              <w:rPr>
                <w:rFonts w:ascii="Times New Roman" w:cs="Times New Roman" w:eastAsia="Times New Roman" w:hAnsi="Times New Roman"/>
                <w:b/>
                <w:bCs/>
                <w:i w:val="false"/>
                <w:iCs w:val="false"/>
                <w:color w:val="FFFFFF"/>
                <w:sz w:val="20"/>
                <w:szCs w:val="20"/>
              </w:rPr>
              <w:t xml:space="preserve">Barrière</w:t>
            </w:r>
          </w:p>
        </w:tc>
        <w:tc>
          <w:tcPr>
            <w:tcW w:type="dxa" w:w="1900"/>
            <w:tcBorders>
              <w:top w:val="single" w:color="1A2D4A" w:sz="4"/>
              <w:left w:val="single" w:color="1A2D4A" w:sz="4"/>
              <w:bottom w:val="single" w:color="1A2D4A" w:sz="4"/>
              <w:right w:val="single" w:color="1A2D4A" w:sz="4"/>
            </w:tcBorders>
            <w:shd w:fill="1A2D4A" w:val="clear"/>
            <w:tcMar>
              <w:top w:type="dxa" w:w="50"/>
              <w:left w:type="dxa" w:w="80"/>
              <w:bottom w:type="dxa" w:w="50"/>
              <w:right w:type="dxa" w:w="80"/>
            </w:tcMar>
          </w:tcPr>
          <w:p>
            <w:pPr>
              <w:spacing w:after="0" w:before="0"/>
              <w:jc w:val="center"/>
            </w:pPr>
            <w:r>
              <w:rPr>
                <w:rFonts w:ascii="Times New Roman" w:cs="Times New Roman" w:eastAsia="Times New Roman" w:hAnsi="Times New Roman"/>
                <w:b/>
                <w:bCs/>
                <w:i w:val="false"/>
                <w:iCs w:val="false"/>
                <w:color w:val="FFFFFF"/>
                <w:sz w:val="20"/>
                <w:szCs w:val="20"/>
              </w:rPr>
              <w:t xml:space="preserve">Isomorphisme bloqué</w:t>
            </w:r>
          </w:p>
        </w:tc>
        <w:tc>
          <w:tcPr>
            <w:tcW w:type="dxa" w:w="1200"/>
            <w:tcBorders>
              <w:top w:val="single" w:color="1A2D4A" w:sz="4"/>
              <w:left w:val="single" w:color="1A2D4A" w:sz="4"/>
              <w:bottom w:val="single" w:color="1A2D4A" w:sz="4"/>
              <w:right w:val="single" w:color="1A2D4A" w:sz="4"/>
            </w:tcBorders>
            <w:shd w:fill="1A2D4A" w:val="clear"/>
            <w:tcMar>
              <w:top w:type="dxa" w:w="50"/>
              <w:left w:type="dxa" w:w="80"/>
              <w:bottom w:type="dxa" w:w="50"/>
              <w:right w:type="dxa" w:w="80"/>
            </w:tcMar>
          </w:tcPr>
          <w:p>
            <w:pPr>
              <w:spacing w:after="0" w:before="0"/>
              <w:jc w:val="center"/>
            </w:pPr>
            <w:r>
              <w:rPr>
                <w:rFonts w:ascii="Times New Roman" w:cs="Times New Roman" w:eastAsia="Times New Roman" w:hAnsi="Times New Roman"/>
                <w:b/>
                <w:bCs/>
                <w:i w:val="false"/>
                <w:iCs w:val="false"/>
                <w:color w:val="FFFFFF"/>
                <w:sz w:val="20"/>
                <w:szCs w:val="20"/>
              </w:rPr>
              <w:t xml:space="preserve">Intensité</w:t>
            </w:r>
          </w:p>
        </w:tc>
        <w:tc>
          <w:tcPr>
            <w:tcW w:type="dxa" w:w="2900"/>
            <w:tcBorders>
              <w:top w:val="single" w:color="1A2D4A" w:sz="4"/>
              <w:left w:val="single" w:color="1A2D4A" w:sz="4"/>
              <w:bottom w:val="single" w:color="1A2D4A" w:sz="4"/>
              <w:right w:val="single" w:color="1A2D4A" w:sz="4"/>
            </w:tcBorders>
            <w:shd w:fill="1A2D4A" w:val="clear"/>
            <w:tcMar>
              <w:top w:type="dxa" w:w="50"/>
              <w:left w:type="dxa" w:w="80"/>
              <w:bottom w:type="dxa" w:w="50"/>
              <w:right w:type="dxa" w:w="80"/>
            </w:tcMar>
          </w:tcPr>
          <w:p>
            <w:pPr>
              <w:spacing w:after="0" w:before="0"/>
              <w:jc w:val="center"/>
            </w:pPr>
            <w:r>
              <w:rPr>
                <w:rFonts w:ascii="Times New Roman" w:cs="Times New Roman" w:eastAsia="Times New Roman" w:hAnsi="Times New Roman"/>
                <w:b/>
                <w:bCs/>
                <w:i w:val="false"/>
                <w:iCs w:val="false"/>
                <w:color w:val="FFFFFF"/>
                <w:sz w:val="20"/>
                <w:szCs w:val="20"/>
              </w:rPr>
              <w:t xml:space="preserve">Levier principal</w:t>
            </w:r>
          </w:p>
        </w:tc>
      </w:tr>
      <w:tr>
        <w:tc>
          <w:tcPr>
            <w:tcW w:type="dxa" w:w="4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1</w:t>
            </w:r>
          </w:p>
        </w:tc>
        <w:tc>
          <w:tcPr>
            <w:tcW w:type="dxa" w:w="26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Absence de pression réglementaire</w:t>
            </w:r>
          </w:p>
        </w:tc>
        <w:tc>
          <w:tcPr>
            <w:tcW w:type="dxa" w:w="19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Coercitif (État)</w:t>
            </w:r>
          </w:p>
        </w:tc>
        <w:tc>
          <w:tcPr>
            <w:tcW w:type="dxa" w:w="12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Très forte</w:t>
            </w:r>
          </w:p>
        </w:tc>
        <w:tc>
          <w:tcPr>
            <w:tcW w:type="dxa" w:w="29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Obligation marchés publics</w:t>
            </w:r>
          </w:p>
        </w:tc>
      </w:tr>
      <w:tr>
        <w:tc>
          <w:tcPr>
            <w:tcW w:type="dxa" w:w="4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2</w:t>
            </w:r>
          </w:p>
        </w:tc>
        <w:tc>
          <w:tcPr>
            <w:tcW w:type="dxa" w:w="26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Isolement chaînes de valeur mondiales</w:t>
            </w:r>
          </w:p>
        </w:tc>
        <w:tc>
          <w:tcPr>
            <w:tcW w:type="dxa" w:w="19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Coercitif (donneurs d'ordre)</w:t>
            </w:r>
          </w:p>
        </w:tc>
        <w:tc>
          <w:tcPr>
            <w:tcW w:type="dxa" w:w="12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Forte</w:t>
            </w:r>
          </w:p>
        </w:tc>
        <w:tc>
          <w:tcPr>
            <w:tcW w:type="dxa" w:w="29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Intégration filières export</w:t>
            </w:r>
          </w:p>
        </w:tc>
      </w:tr>
      <w:tr>
        <w:tc>
          <w:tcPr>
            <w:tcW w:type="dxa" w:w="4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3</w:t>
            </w:r>
          </w:p>
        </w:tc>
        <w:tc>
          <w:tcPr>
            <w:tcW w:type="dxa" w:w="26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Coût perçu prohibitif sans ROI visible</w:t>
            </w:r>
          </w:p>
        </w:tc>
        <w:tc>
          <w:tcPr>
            <w:tcW w:type="dxa" w:w="19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Économique</w:t>
            </w:r>
          </w:p>
        </w:tc>
        <w:tc>
          <w:tcPr>
            <w:tcW w:type="dxa" w:w="12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Forte</w:t>
            </w:r>
          </w:p>
        </w:tc>
        <w:tc>
          <w:tcPr>
            <w:tcW w:type="dxa" w:w="29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Subvention + quantification ROI</w:t>
            </w:r>
          </w:p>
        </w:tc>
      </w:tr>
      <w:tr>
        <w:tc>
          <w:tcPr>
            <w:tcW w:type="dxa" w:w="4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4</w:t>
            </w:r>
          </w:p>
        </w:tc>
        <w:tc>
          <w:tcPr>
            <w:tcW w:type="dxa" w:w="26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Déficit en ingénieurs formés aux SME</w:t>
            </w:r>
          </w:p>
        </w:tc>
        <w:tc>
          <w:tcPr>
            <w:tcW w:type="dxa" w:w="19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Normatif</w:t>
            </w:r>
          </w:p>
        </w:tc>
        <w:tc>
          <w:tcPr>
            <w:tcW w:type="dxa" w:w="12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Forte</w:t>
            </w:r>
          </w:p>
        </w:tc>
        <w:tc>
          <w:tcPr>
            <w:tcW w:type="dxa" w:w="29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Réforme curricula ingénieurs</w:t>
            </w:r>
          </w:p>
        </w:tc>
      </w:tr>
      <w:tr>
        <w:tc>
          <w:tcPr>
            <w:tcW w:type="dxa" w:w="4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5</w:t>
            </w:r>
          </w:p>
        </w:tc>
        <w:tc>
          <w:tcPr>
            <w:tcW w:type="dxa" w:w="26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Culture organisationnelle et résistance</w:t>
            </w:r>
          </w:p>
        </w:tc>
        <w:tc>
          <w:tcPr>
            <w:tcW w:type="dxa" w:w="19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Mimétique</w:t>
            </w:r>
          </w:p>
        </w:tc>
        <w:tc>
          <w:tcPr>
            <w:tcW w:type="dxa" w:w="12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Moyenne</w:t>
            </w:r>
          </w:p>
        </w:tc>
        <w:tc>
          <w:tcPr>
            <w:tcW w:type="dxa" w:w="2900"/>
            <w:tcBorders>
              <w:top w:val="single" w:color="CCCCCC" w:sz="2"/>
              <w:left w:val="single" w:color="CCCCCC" w:sz="2"/>
              <w:bottom w:val="single" w:color="CCCCCC" w:sz="2"/>
              <w:right w:val="single" w:color="CCCCCC" w:sz="2"/>
            </w:tcBorders>
            <w:shd w:fill="F4F7F4"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Démonstration par les pairs</w:t>
            </w:r>
          </w:p>
        </w:tc>
      </w:tr>
      <w:tr>
        <w:tc>
          <w:tcPr>
            <w:tcW w:type="dxa" w:w="4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6</w:t>
            </w:r>
          </w:p>
        </w:tc>
        <w:tc>
          <w:tcPr>
            <w:tcW w:type="dxa" w:w="26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Faiblesse de l'écosystème de certification</w:t>
            </w:r>
          </w:p>
        </w:tc>
        <w:tc>
          <w:tcPr>
            <w:tcW w:type="dxa" w:w="19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Systémique</w:t>
            </w:r>
          </w:p>
        </w:tc>
        <w:tc>
          <w:tcPr>
            <w:tcW w:type="dxa" w:w="12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Moyenne</w:t>
            </w:r>
          </w:p>
        </w:tc>
        <w:tc>
          <w:tcPr>
            <w:tcW w:type="dxa" w:w="2900"/>
            <w:tcBorders>
              <w:top w:val="single" w:color="CCCCCC" w:sz="2"/>
              <w:left w:val="single" w:color="CCCCCC" w:sz="2"/>
              <w:bottom w:val="single" w:color="CCCCCC" w:sz="2"/>
              <w:right w:val="single" w:color="CCCCCC" w:sz="2"/>
            </w:tcBorders>
            <w:shd w:fill="FFFFFF" w:val="clear"/>
            <w:tcMar>
              <w:top w:type="dxa" w:w="40"/>
              <w:left w:type="dxa" w:w="80"/>
              <w:bottom w:type="dxa" w:w="40"/>
              <w:right w:type="dxa" w:w="80"/>
            </w:tcMar>
          </w:tcPr>
          <w:p>
            <w:pPr>
              <w:spacing w:after="0" w:before="0"/>
              <w:jc w:val="both"/>
            </w:pPr>
            <w:r>
              <w:rPr>
                <w:rFonts w:ascii="Times New Roman" w:cs="Times New Roman" w:eastAsia="Times New Roman" w:hAnsi="Times New Roman"/>
                <w:b w:val="false"/>
                <w:bCs w:val="false"/>
                <w:i w:val="false"/>
                <w:iCs w:val="false"/>
                <w:color w:val="111111"/>
                <w:sz w:val="20"/>
                <w:szCs w:val="20"/>
              </w:rPr>
              <w:t xml:space="preserve">Développement IANOR</w:t>
            </w:r>
          </w:p>
        </w:tc>
      </w:tr>
    </w:tbl>
    <w:p>
      <w:pPr>
        <w:spacing w:after="60" w:before="60"/>
      </w:pP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La barrière la plus déterminante est l'absence de pression réglementaire effective (Barrière 1). La certification est volontaire en Algérie. Des textes permettent de l'exiger dans les marchés publics mais leur application est inégale. Cette situation contraste avec l'expérience marocaine et tunisienne. La barrière 2 (isolement des chaînes de valeur) explique l'écart avec le Maroc : la filière automobile marocaine a généré une vague de certifications chez les sous-traitants locaux sans intervention de l'État.</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Le déficit en ingénieurs formés (Barrière 4) est probablement la plus sous-estimée. Quand une ETI n'a personne en interne pour piloter un SME, elle sous-traite à un consultant. Quand le consultant part, le système s'effondre. C'est documenté par Nawrocka et Parker (2009). La contradiction philosophique (Barrière 5) est la moins visible mais la plus résistante : le droit algérien fonctionne à la conformité au seuil, ISO 14001 à l'amélioration continue. Un dirigeant qui a passé vingt ans à gérer des inspections ne comprend pas spontanément pourquoi il devrait faire mieux quand il est déjà conforme.</w:t>
      </w:r>
    </w:p>
    <w:p>
      <w:pPr>
        <w:spacing w:after="80" w:before="80"/>
      </w:pPr>
    </w:p>
    <w:p>
      <w:pPr>
        <w:spacing w:after="80" w:before="240"/>
        <w:jc w:val="left"/>
      </w:pPr>
      <w:r>
        <w:rPr>
          <w:rFonts w:ascii="Times New Roman" w:cs="Times New Roman" w:eastAsia="Times New Roman" w:hAnsi="Times New Roman"/>
          <w:b/>
          <w:bCs/>
          <w:i w:val="false"/>
          <w:iCs w:val="false"/>
          <w:color w:val="111111"/>
          <w:sz w:val="26"/>
          <w:szCs w:val="26"/>
        </w:rPr>
        <w:t xml:space="preserve">6. Analyse des outils, cumulatifs, facilitateurs, complexifiants ou contradictoires ?</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Un dirigeant algérien qui envisage la certification se pose une question pratique avant toute autre : est-ce que ça vient s'ajouter à ce que je fais déjà, ou est-ce que ça remplace une partie ? La réponse est nuancée, et plus favorable qu'on ne le croit habituellement.</w:t>
      </w:r>
    </w:p>
    <w:p>
      <w:pPr>
        <w:spacing w:after="60" w:before="160"/>
        <w:jc w:val="left"/>
      </w:pPr>
      <w:r>
        <w:rPr>
          <w:rFonts w:ascii="Times New Roman" w:cs="Times New Roman" w:eastAsia="Times New Roman" w:hAnsi="Times New Roman"/>
          <w:b/>
          <w:bCs/>
          <w:i w:val="false"/>
          <w:iCs w:val="false"/>
          <w:color w:val="111111"/>
          <w:sz w:val="24"/>
          <w:szCs w:val="24"/>
        </w:rPr>
        <w:t xml:space="preserve">6.1. Les outils cumulatifs, le capital réglementaire existant</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Une ETI algérienne conforme à la réglementation a déjà constitué, sans le savoir, environ 35% de ce qu'un SME ISO 14001 exige.</w:t>
      </w:r>
    </w:p>
    <w:p>
      <w:pPr>
        <w:spacing w:after="60" w:before="160"/>
        <w:jc w:val="left"/>
      </w:pPr>
      <w:r>
        <w:rPr>
          <w:rFonts w:ascii="Times New Roman" w:cs="Times New Roman" w:eastAsia="Times New Roman" w:hAnsi="Times New Roman"/>
          <w:b/>
          <w:bCs/>
          <w:i w:val="false"/>
          <w:iCs w:val="false"/>
          <w:color w:val="111111"/>
          <w:sz w:val="24"/>
          <w:szCs w:val="24"/>
        </w:rPr>
        <w:t xml:space="preserve">6.2. Les outils facilitateurs</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Trois outils ou mécanismes fonctionnent comme facilitateurs. Le classement des installations (décret 06-198) fournit exactement la liste des obligations légales que §6.1.3 d'ISO 14001 exige de répertorier. La déclaration annuelle des émissions et rejets (DEIR) devient un enregistrement valide pour §9.1 et §9.3 sans travail supplémentaire. Surtout, le mécanisme CBAM est le premier signal économique externe suffisamment fort pour rendre la certification ISO 14001 rationnelle pour les ETI exportatrices algériennes. Pour un cimentier exportant vers l'Europe, ISO 14001 devient rentable dès la première année si elle évite la taxe CBAM au taux maximum (50 à 70 euros par tonne de CO2).</w:t>
      </w:r>
    </w:p>
    <w:p>
      <w:pPr>
        <w:spacing w:after="60" w:before="160"/>
        <w:jc w:val="left"/>
      </w:pPr>
      <w:r>
        <w:rPr>
          <w:rFonts w:ascii="Times New Roman" w:cs="Times New Roman" w:eastAsia="Times New Roman" w:hAnsi="Times New Roman"/>
          <w:b/>
          <w:bCs/>
          <w:i w:val="false"/>
          <w:iCs w:val="false"/>
          <w:color w:val="111111"/>
          <w:sz w:val="24"/>
          <w:szCs w:val="24"/>
        </w:rPr>
        <w:t xml:space="preserve">6.3. Les outils complexifiants</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Cinq outils n'ont aucun équivalent dans la réglementation algérienne et représentent l'essentiel du coût : le registre des aspects environnementaux significatifs (40 à 80 heures), le tableau de bord ISO 14031 (20 à 40 heures), le système documentaire complet (60 à 120 heures), l'analyse des risques et opportunités §6.1.1 (20 à 40 heures), et l'audit de tierce partie (8 000 à 15 000 euros par an). La charge totale initiale hors audit est estimée entre 140 et 280 heures de travail qualifié, soit 3 à 7 semaines pour un ingénieur interne.</w:t>
      </w:r>
    </w:p>
    <w:p>
      <w:pPr>
        <w:spacing w:after="60" w:before="160"/>
        <w:jc w:val="left"/>
      </w:pPr>
      <w:r>
        <w:rPr>
          <w:rFonts w:ascii="Times New Roman" w:cs="Times New Roman" w:eastAsia="Times New Roman" w:hAnsi="Times New Roman"/>
          <w:b/>
          <w:bCs/>
          <w:i w:val="false"/>
          <w:iCs w:val="false"/>
          <w:color w:val="111111"/>
          <w:sz w:val="24"/>
          <w:szCs w:val="24"/>
        </w:rPr>
        <w:t xml:space="preserve">6.4. Les outils contradictoires, la barrière philosophique la plus profonde</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Trois contradictions philosophiques opposent le droit algérien et ISO 14001. La plus déterminante : la logique de seuil versus la logique d'amélioration continue. Le droit algérien impose une conformité ponctuelle : une fois le seuil d'émissions respecté, aucune incitation à aller plus loin. ISO 14001 exige une amélioration continue via le cycle PDCA. Un dirigeant formé à la logique réglementaire résiste à cette exigence perçue comme arbitraire. La deuxième contradiction : l'inspection subie (externe, inopinée, sanctionnatrice) versus l'audit interne volontaire (planifié, apprenant). La troisième : la taxe polluante algérienne (TAP) trop faible pour constituer une incitation réelle à la certification, contrairement à la TGAP française ou à la taxe carbone allemande.</w:t>
      </w:r>
    </w:p>
    <w:p>
      <w:pPr>
        <w:spacing w:after="80" w:before="80"/>
      </w:pPr>
    </w:p>
    <w:p>
      <w:pPr>
        <w:spacing w:after="80" w:before="240"/>
        <w:jc w:val="left"/>
      </w:pPr>
      <w:r>
        <w:rPr>
          <w:rFonts w:ascii="Times New Roman" w:cs="Times New Roman" w:eastAsia="Times New Roman" w:hAnsi="Times New Roman"/>
          <w:b/>
          <w:bCs/>
          <w:i w:val="false"/>
          <w:iCs w:val="false"/>
          <w:color w:val="111111"/>
          <w:sz w:val="26"/>
          <w:szCs w:val="26"/>
        </w:rPr>
        <w:t xml:space="preserve">7. Le positionnement des dirigeants d'ETI algériennes</w:t>
      </w:r>
    </w:p>
    <w:p>
      <w:pPr>
        <w:spacing w:after="60" w:before="160"/>
        <w:jc w:val="left"/>
      </w:pPr>
      <w:r>
        <w:rPr>
          <w:rFonts w:ascii="Times New Roman" w:cs="Times New Roman" w:eastAsia="Times New Roman" w:hAnsi="Times New Roman"/>
          <w:b/>
          <w:bCs/>
          <w:i w:val="false"/>
          <w:iCs w:val="false"/>
          <w:color w:val="111111"/>
          <w:sz w:val="24"/>
          <w:szCs w:val="24"/>
        </w:rPr>
        <w:t xml:space="preserve">7.1. Le profil sociologique, hypothèse à valider</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En l'absence d'enquête primaire, le profil suivant est construit par déduction à partir de la littérature (Khelfaoui, 2018 ; Djeflat, 2021). Le dirigeant type d'une ETI industrielle algérienne de plus de 250 salariés a souvent entre 50 et 65 ans. Il a construit son entreprise dans un environnement marqué par la rente pétrolière et l'accès privilégié aux marchés publics. Son modèle de gestion repose sur les relations institutionnelles et la maîtrise opérationnelle. Il n'a généralement pas été formé au management environnemental.</w:t>
      </w:r>
    </w:p>
    <w:p>
      <w:pPr>
        <w:spacing w:after="60" w:before="160"/>
        <w:jc w:val="left"/>
      </w:pPr>
      <w:r>
        <w:rPr>
          <w:rFonts w:ascii="Times New Roman" w:cs="Times New Roman" w:eastAsia="Times New Roman" w:hAnsi="Times New Roman"/>
          <w:b/>
          <w:bCs/>
          <w:i w:val="false"/>
          <w:iCs w:val="false"/>
          <w:color w:val="111111"/>
          <w:sz w:val="24"/>
          <w:szCs w:val="24"/>
        </w:rPr>
        <w:t xml:space="preserve">7.2. Les quatre questions décisives</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Quand on présente la certification ISO 14001 à ce type de dirigeant, quatre questions reviennent systématiquement. Et dans le contexte algérien actuel, chacune reçoit une réponse négative.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1A2D4A" w:sz="4"/>
              <w:left w:val="single" w:color="1A2D4A" w:sz="4"/>
              <w:bottom w:val="single" w:color="1A2D4A" w:sz="4"/>
              <w:right w:val="single" w:color="1A2D4A" w:sz="4"/>
            </w:tcBorders>
            <w:shd w:fill="F4F7F4" w:val="clear"/>
            <w:tcMar>
              <w:top w:type="dxa" w:w="100"/>
              <w:left w:type="dxa" w:w="200"/>
              <w:bottom w:type="dxa" w:w="100"/>
              <w:right w:type="dxa" w:w="200"/>
            </w:tcMar>
          </w:tcPr>
          <w:p>
            <w:pPr>
              <w:spacing w:after="30" w:before="40" w:line="360"/>
              <w:jc w:val="both"/>
            </w:pPr>
            <w:r>
              <w:rPr>
                <w:rFonts w:ascii="Times New Roman" w:cs="Times New Roman" w:eastAsia="Times New Roman" w:hAnsi="Times New Roman"/>
                <w:b/>
                <w:bCs/>
                <w:i w:val="false"/>
                <w:iCs w:val="false"/>
                <w:color w:val="111111"/>
                <w:sz w:val="22"/>
                <w:szCs w:val="22"/>
              </w:rPr>
              <w:t xml:space="preserve">Q1 : "À qui je vends, et est-ce qu'ils me le demandent ?" </w:t>
            </w:r>
            <w:r>
              <w:rPr>
                <w:rFonts w:ascii="Times New Roman" w:cs="Times New Roman" w:eastAsia="Times New Roman" w:hAnsi="Times New Roman"/>
                <w:b w:val="false"/>
                <w:bCs w:val="false"/>
                <w:i/>
                <w:iCs/>
                <w:color w:val="111111"/>
                <w:sz w:val="22"/>
                <w:szCs w:val="22"/>
              </w:rPr>
              <w:t xml:space="preserve">Réponse : Non. Clients domestiques et publics, aucune exigence. Isomorphisme coercitif absent.</w:t>
            </w:r>
          </w:p>
          <w:p>
            <w:pPr>
              <w:spacing w:after="30" w:before="30" w:line="360"/>
              <w:jc w:val="both"/>
            </w:pPr>
            <w:r>
              <w:rPr>
                <w:rFonts w:ascii="Times New Roman" w:cs="Times New Roman" w:eastAsia="Times New Roman" w:hAnsi="Times New Roman"/>
                <w:b/>
                <w:bCs/>
                <w:i w:val="false"/>
                <w:iCs w:val="false"/>
                <w:color w:val="111111"/>
                <w:sz w:val="22"/>
                <w:szCs w:val="22"/>
              </w:rPr>
              <w:t xml:space="preserve">Q2 : "Combien ça coûte et qui va s'en occuper ?" </w:t>
            </w:r>
            <w:r>
              <w:rPr>
                <w:rFonts w:ascii="Times New Roman" w:cs="Times New Roman" w:eastAsia="Times New Roman" w:hAnsi="Times New Roman"/>
                <w:b w:val="false"/>
                <w:bCs w:val="false"/>
                <w:i/>
                <w:iCs/>
                <w:color w:val="111111"/>
                <w:sz w:val="22"/>
                <w:szCs w:val="22"/>
              </w:rPr>
              <w:t xml:space="preserve">Réponse : Coût significatif, pas d'ingénieur en interne, consultant externe nécessaire. Barrières 3 et 4.</w:t>
            </w:r>
          </w:p>
          <w:p>
            <w:pPr>
              <w:spacing w:after="30" w:before="30" w:line="360"/>
              <w:jc w:val="both"/>
            </w:pPr>
            <w:r>
              <w:rPr>
                <w:rFonts w:ascii="Times New Roman" w:cs="Times New Roman" w:eastAsia="Times New Roman" w:hAnsi="Times New Roman"/>
                <w:b/>
                <w:bCs/>
                <w:i w:val="false"/>
                <w:iCs w:val="false"/>
                <w:color w:val="111111"/>
                <w:sz w:val="22"/>
                <w:szCs w:val="22"/>
              </w:rPr>
              <w:t xml:space="preserve">Q3 : "Est-ce que l'État m'y oblige ?" </w:t>
            </w:r>
            <w:r>
              <w:rPr>
                <w:rFonts w:ascii="Times New Roman" w:cs="Times New Roman" w:eastAsia="Times New Roman" w:hAnsi="Times New Roman"/>
                <w:b w:val="false"/>
                <w:bCs w:val="false"/>
                <w:i/>
                <w:iCs/>
                <w:color w:val="111111"/>
                <w:sz w:val="22"/>
                <w:szCs w:val="22"/>
              </w:rPr>
              <w:t xml:space="preserve">Réponse : Non. Volontaire, textes non appliqués. Barrière 1.</w:t>
            </w:r>
          </w:p>
          <w:p>
            <w:pPr>
              <w:spacing w:after="40" w:before="30" w:line="360"/>
              <w:jc w:val="both"/>
            </w:pPr>
            <w:r>
              <w:rPr>
                <w:rFonts w:ascii="Times New Roman" w:cs="Times New Roman" w:eastAsia="Times New Roman" w:hAnsi="Times New Roman"/>
                <w:b/>
                <w:bCs/>
                <w:i w:val="false"/>
                <w:iCs w:val="false"/>
                <w:color w:val="111111"/>
                <w:sz w:val="22"/>
                <w:szCs w:val="22"/>
              </w:rPr>
              <w:t xml:space="preserve">Q4 : "Mes concurrents le font-ils ?" </w:t>
            </w:r>
            <w:r>
              <w:rPr>
                <w:rFonts w:ascii="Times New Roman" w:cs="Times New Roman" w:eastAsia="Times New Roman" w:hAnsi="Times New Roman"/>
                <w:b w:val="false"/>
                <w:bCs w:val="false"/>
                <w:i/>
                <w:iCs/>
                <w:color w:val="111111"/>
                <w:sz w:val="22"/>
                <w:szCs w:val="22"/>
              </w:rPr>
              <w:t xml:space="preserve">Réponse : Non. 123 certifications pour un million d'entreprises. Isomorphisme mimétique absent.</w:t>
            </w:r>
          </w:p>
        </w:tc>
      </w:tr>
    </w:tbl>
    <w:p>
      <w:pPr>
        <w:spacing w:after="80" w:before="80"/>
      </w:pPr>
    </w:p>
    <w:p>
      <w:pPr>
        <w:spacing w:after="60" w:before="160"/>
        <w:jc w:val="left"/>
      </w:pPr>
      <w:r>
        <w:rPr>
          <w:rFonts w:ascii="Times New Roman" w:cs="Times New Roman" w:eastAsia="Times New Roman" w:hAnsi="Times New Roman"/>
          <w:b/>
          <w:bCs/>
          <w:i w:val="false"/>
          <w:iCs w:val="false"/>
          <w:color w:val="111111"/>
          <w:sz w:val="24"/>
          <w:szCs w:val="24"/>
        </w:rPr>
        <w:t xml:space="preserve">7.3. La segmentation en trois profils</w:t>
      </w:r>
    </w:p>
    <w:p>
      <w:pPr>
        <w:spacing w:after="40" w:before="60" w:line="360"/>
        <w:jc w:val="both"/>
      </w:pPr>
      <w:r>
        <w:rPr>
          <w:rFonts w:ascii="Times New Roman" w:cs="Times New Roman" w:eastAsia="Times New Roman" w:hAnsi="Times New Roman"/>
          <w:b/>
          <w:bCs/>
          <w:i w:val="false"/>
          <w:iCs w:val="false"/>
          <w:color w:val="111111"/>
          <w:sz w:val="24"/>
          <w:szCs w:val="24"/>
        </w:rPr>
        <w:t xml:space="preserve">Profil A, L'exportateur contraint (15% des ETI) : </w:t>
      </w:r>
      <w:r>
        <w:rPr>
          <w:rFonts w:ascii="Times New Roman" w:cs="Times New Roman" w:eastAsia="Times New Roman" w:hAnsi="Times New Roman"/>
          <w:b w:val="false"/>
          <w:bCs w:val="false"/>
          <w:i w:val="false"/>
          <w:iCs w:val="false"/>
          <w:color w:val="111111"/>
          <w:sz w:val="24"/>
          <w:szCs w:val="24"/>
        </w:rPr>
        <w:t xml:space="preserve">il exporte vers l'Europe ou sous-traite pour un donneur d'ordre international. Il est le plus susceptible de s'engager spontanément.</w:t>
      </w:r>
    </w:p>
    <w:p>
      <w:pPr>
        <w:spacing w:after="40" w:before="40" w:line="360"/>
        <w:jc w:val="both"/>
      </w:pPr>
      <w:r>
        <w:rPr>
          <w:rFonts w:ascii="Times New Roman" w:cs="Times New Roman" w:eastAsia="Times New Roman" w:hAnsi="Times New Roman"/>
          <w:b/>
          <w:bCs/>
          <w:i w:val="false"/>
          <w:iCs w:val="false"/>
          <w:color w:val="111111"/>
          <w:sz w:val="24"/>
          <w:szCs w:val="24"/>
        </w:rPr>
        <w:t xml:space="preserve">Profil B, L'exportateur opportuniste (25%) : </w:t>
      </w:r>
      <w:r>
        <w:rPr>
          <w:rFonts w:ascii="Times New Roman" w:cs="Times New Roman" w:eastAsia="Times New Roman" w:hAnsi="Times New Roman"/>
          <w:b w:val="false"/>
          <w:bCs w:val="false"/>
          <w:i w:val="false"/>
          <w:iCs w:val="false"/>
          <w:color w:val="111111"/>
          <w:sz w:val="24"/>
          <w:szCs w:val="24"/>
        </w:rPr>
        <w:t xml:space="preserve">il vend principalement sur le marché domestique mais surveille les opportunités d'export. Un signal de marché fort suffira à le convaincre.</w:t>
      </w:r>
    </w:p>
    <w:p>
      <w:pPr>
        <w:spacing w:after="60" w:before="40" w:line="360"/>
        <w:jc w:val="both"/>
      </w:pPr>
      <w:r>
        <w:rPr>
          <w:rFonts w:ascii="Times New Roman" w:cs="Times New Roman" w:eastAsia="Times New Roman" w:hAnsi="Times New Roman"/>
          <w:b/>
          <w:bCs/>
          <w:i w:val="false"/>
          <w:iCs w:val="false"/>
          <w:color w:val="111111"/>
          <w:sz w:val="24"/>
          <w:szCs w:val="24"/>
        </w:rPr>
        <w:t xml:space="preserve">Profil C, Le captif domestique (60%) : </w:t>
      </w:r>
      <w:r>
        <w:rPr>
          <w:rFonts w:ascii="Times New Roman" w:cs="Times New Roman" w:eastAsia="Times New Roman" w:hAnsi="Times New Roman"/>
          <w:b w:val="false"/>
          <w:bCs w:val="false"/>
          <w:i w:val="false"/>
          <w:iCs w:val="false"/>
          <w:color w:val="111111"/>
          <w:sz w:val="24"/>
          <w:szCs w:val="24"/>
        </w:rPr>
        <w:t xml:space="preserve">il vend exclusivement à des clients algériens, souvent publics. Il ne s'engagera que sous contrainte réglementaire directe.</w:t>
      </w:r>
    </w:p>
    <w:p>
      <w:pPr>
        <w:spacing w:after="80" w:before="80"/>
      </w:pPr>
    </w:p>
    <w:p>
      <w:pPr>
        <w:spacing w:after="80" w:before="240"/>
        <w:jc w:val="left"/>
      </w:pPr>
      <w:r>
        <w:rPr>
          <w:rFonts w:ascii="Times New Roman" w:cs="Times New Roman" w:eastAsia="Times New Roman" w:hAnsi="Times New Roman"/>
          <w:b/>
          <w:bCs/>
          <w:i w:val="false"/>
          <w:iCs w:val="false"/>
          <w:color w:val="111111"/>
          <w:sz w:val="26"/>
          <w:szCs w:val="26"/>
        </w:rPr>
        <w:t xml:space="preserve">8. Le CBAM comme signal d'alarme pour la diversification hors hydrocarbures</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Les exportations hors hydrocarbures progressent : 5,1 milliards de dollars en 2023, contre moins de 2 milliards en 2017. Mais l'objectif 2023 était de 13 milliards. La réalisation en représente 39%. L'objectif de 29 milliards en 2030 représente une multiplication par six en six ans, que la quasi-totalité des économistes considère comme irréaliste dans les conditions actuelles (Banque mondiale, 2024).</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Plus préoccupant que le volume : la composition. Les huit principaux produits exportés hors hydrocarbures (engrais azotés, ammoniac, acier, ciment, phosphate) représentent 88% du total. Ce sont exactement les secteurs visés par le CBAM (Règlement UE 2023/956). Le mécanisme impose aux importateurs européens de déclarer et payer le coût carbone des produits importés. Sans données carbone vérifiables, les exportateurs algériens paieront la taxe au taux maximum.</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ISO 14001 est le cadre qui permet de construire cette documentation carbone. Pour un cimentier ou un producteur d'engrais qui exporte vers l'Europe, la question n'est plus "est-ce que la certification vaut l'investissement ?" mais "est-ce que je peux me permettre de ne pas l'avoir en 2026 ?"</w:t>
      </w:r>
    </w:p>
    <w:p>
      <w:pPr>
        <w:spacing w:after="80" w:before="80"/>
      </w:pPr>
    </w:p>
    <w:p>
      <w:pPr>
        <w:spacing w:after="80" w:before="240"/>
        <w:jc w:val="left"/>
      </w:pPr>
      <w:r>
        <w:rPr>
          <w:rFonts w:ascii="Times New Roman" w:cs="Times New Roman" w:eastAsia="Times New Roman" w:hAnsi="Times New Roman"/>
          <w:b/>
          <w:bCs/>
          <w:i w:val="false"/>
          <w:iCs w:val="false"/>
          <w:color w:val="111111"/>
          <w:sz w:val="26"/>
          <w:szCs w:val="26"/>
        </w:rPr>
        <w:t xml:space="preserve">9. Recommandations différenciées selon les acteurs</w:t>
      </w:r>
    </w:p>
    <w:p>
      <w:pPr>
        <w:spacing w:after="60" w:before="160"/>
        <w:jc w:val="left"/>
      </w:pPr>
      <w:r>
        <w:rPr>
          <w:rFonts w:ascii="Times New Roman" w:cs="Times New Roman" w:eastAsia="Times New Roman" w:hAnsi="Times New Roman"/>
          <w:b/>
          <w:bCs/>
          <w:i w:val="false"/>
          <w:iCs w:val="false"/>
          <w:color w:val="111111"/>
          <w:sz w:val="24"/>
          <w:szCs w:val="24"/>
        </w:rPr>
        <w:t xml:space="preserve">9.1. Pour les décideurs publics algériens</w:t>
      </w:r>
    </w:p>
    <w:p>
      <w:pPr>
        <w:spacing w:after="40" w:before="60" w:line="360"/>
        <w:jc w:val="both"/>
      </w:pPr>
      <w:r>
        <w:rPr>
          <w:rFonts w:ascii="Times New Roman" w:cs="Times New Roman" w:eastAsia="Times New Roman" w:hAnsi="Times New Roman"/>
          <w:b/>
          <w:bCs/>
          <w:i w:val="false"/>
          <w:iCs w:val="false"/>
          <w:color w:val="111111"/>
          <w:sz w:val="24"/>
          <w:szCs w:val="24"/>
        </w:rPr>
        <w:t xml:space="preserve">R1 : </w:t>
      </w:r>
      <w:r>
        <w:rPr>
          <w:rFonts w:ascii="Times New Roman" w:cs="Times New Roman" w:eastAsia="Times New Roman" w:hAnsi="Times New Roman"/>
          <w:b w:val="false"/>
          <w:bCs w:val="false"/>
          <w:i w:val="false"/>
          <w:iCs w:val="false"/>
          <w:color w:val="111111"/>
          <w:sz w:val="24"/>
          <w:szCs w:val="24"/>
        </w:rPr>
        <w:t xml:space="preserve">Rendre la certification ISO 14001 obligatoire dans les marchés publics industriels supérieurs à 100 millions de dinars. C'est le seul levier atteignant le Profil C (60% des ETI captives du marché domestique). Modèle : expérience tunisienne.</w:t>
      </w:r>
    </w:p>
    <w:p>
      <w:pPr>
        <w:spacing w:after="40" w:before="40" w:line="360"/>
        <w:jc w:val="both"/>
      </w:pPr>
      <w:r>
        <w:rPr>
          <w:rFonts w:ascii="Times New Roman" w:cs="Times New Roman" w:eastAsia="Times New Roman" w:hAnsi="Times New Roman"/>
          <w:b/>
          <w:bCs/>
          <w:i w:val="false"/>
          <w:iCs w:val="false"/>
          <w:color w:val="111111"/>
          <w:sz w:val="24"/>
          <w:szCs w:val="24"/>
        </w:rPr>
        <w:t xml:space="preserve">R2 : </w:t>
      </w:r>
      <w:r>
        <w:rPr>
          <w:rFonts w:ascii="Times New Roman" w:cs="Times New Roman" w:eastAsia="Times New Roman" w:hAnsi="Times New Roman"/>
          <w:b w:val="false"/>
          <w:bCs w:val="false"/>
          <w:i w:val="false"/>
          <w:iCs w:val="false"/>
          <w:color w:val="111111"/>
          <w:sz w:val="24"/>
          <w:szCs w:val="24"/>
        </w:rPr>
        <w:t xml:space="preserve">Créer un fonds de garantie subventionnant jusqu'à 70% du coût de certification pour les ETI dont plus de 30% du chiffre d'affaires est réalisé à l'export. Modèle : programme ONPQ marocain.</w:t>
      </w:r>
    </w:p>
    <w:p>
      <w:pPr>
        <w:spacing w:after="60" w:before="40" w:line="360"/>
        <w:jc w:val="both"/>
      </w:pPr>
      <w:r>
        <w:rPr>
          <w:rFonts w:ascii="Times New Roman" w:cs="Times New Roman" w:eastAsia="Times New Roman" w:hAnsi="Times New Roman"/>
          <w:b/>
          <w:bCs/>
          <w:i w:val="false"/>
          <w:iCs w:val="false"/>
          <w:color w:val="111111"/>
          <w:sz w:val="24"/>
          <w:szCs w:val="24"/>
        </w:rPr>
        <w:t xml:space="preserve">R3 : </w:t>
      </w:r>
      <w:r>
        <w:rPr>
          <w:rFonts w:ascii="Times New Roman" w:cs="Times New Roman" w:eastAsia="Times New Roman" w:hAnsi="Times New Roman"/>
          <w:b w:val="false"/>
          <w:bCs w:val="false"/>
          <w:i w:val="false"/>
          <w:iCs w:val="false"/>
          <w:color w:val="111111"/>
          <w:sz w:val="24"/>
          <w:szCs w:val="24"/>
        </w:rPr>
        <w:t xml:space="preserve">Créer une cellule interministérielle CBAM-Exportation accompagnant les ETI exportatrices dans la construction de leur comptabilité carbone, en partenariat avec l'IANOR et les organismes sectoriels.</w:t>
      </w:r>
    </w:p>
    <w:p>
      <w:pPr>
        <w:spacing w:after="60" w:before="160"/>
        <w:jc w:val="left"/>
      </w:pPr>
      <w:r>
        <w:rPr>
          <w:rFonts w:ascii="Times New Roman" w:cs="Times New Roman" w:eastAsia="Times New Roman" w:hAnsi="Times New Roman"/>
          <w:b/>
          <w:bCs/>
          <w:i w:val="false"/>
          <w:iCs w:val="false"/>
          <w:color w:val="111111"/>
          <w:sz w:val="24"/>
          <w:szCs w:val="24"/>
        </w:rPr>
        <w:t xml:space="preserve">9.2. Pour les organismes de formation</w:t>
      </w:r>
    </w:p>
    <w:p>
      <w:pPr>
        <w:spacing w:after="40" w:before="60" w:line="360"/>
        <w:jc w:val="both"/>
      </w:pPr>
      <w:r>
        <w:rPr>
          <w:rFonts w:ascii="Times New Roman" w:cs="Times New Roman" w:eastAsia="Times New Roman" w:hAnsi="Times New Roman"/>
          <w:b/>
          <w:bCs/>
          <w:i w:val="false"/>
          <w:iCs w:val="false"/>
          <w:color w:val="111111"/>
          <w:sz w:val="24"/>
          <w:szCs w:val="24"/>
        </w:rPr>
        <w:t xml:space="preserve">R4 : </w:t>
      </w:r>
      <w:r>
        <w:rPr>
          <w:rFonts w:ascii="Times New Roman" w:cs="Times New Roman" w:eastAsia="Times New Roman" w:hAnsi="Times New Roman"/>
          <w:b w:val="false"/>
          <w:bCs w:val="false"/>
          <w:i w:val="false"/>
          <w:iCs w:val="false"/>
          <w:color w:val="111111"/>
          <w:sz w:val="24"/>
          <w:szCs w:val="24"/>
        </w:rPr>
        <w:t xml:space="preserve">Intégrer un module de 60 heures sur ISO 14001, ISO 14031 et ISO 50001 dans les cursus de 4e et 5e année des écoles d'ingénieurs algériennes (ENP, USTHB, ESI, ENSP). Objectif : former des ingénieurs capables de piloter une certification sans consultant externe.</w:t>
      </w:r>
    </w:p>
    <w:p>
      <w:pPr>
        <w:spacing w:after="60" w:before="40" w:line="360"/>
        <w:jc w:val="both"/>
      </w:pPr>
      <w:r>
        <w:rPr>
          <w:rFonts w:ascii="Times New Roman" w:cs="Times New Roman" w:eastAsia="Times New Roman" w:hAnsi="Times New Roman"/>
          <w:b/>
          <w:bCs/>
          <w:i w:val="false"/>
          <w:iCs w:val="false"/>
          <w:color w:val="111111"/>
          <w:sz w:val="24"/>
          <w:szCs w:val="24"/>
        </w:rPr>
        <w:t xml:space="preserve">R5 : </w:t>
      </w:r>
      <w:r>
        <w:rPr>
          <w:rFonts w:ascii="Times New Roman" w:cs="Times New Roman" w:eastAsia="Times New Roman" w:hAnsi="Times New Roman"/>
          <w:b w:val="false"/>
          <w:bCs w:val="false"/>
          <w:i w:val="false"/>
          <w:iCs w:val="false"/>
          <w:color w:val="111111"/>
          <w:sz w:val="24"/>
          <w:szCs w:val="24"/>
        </w:rPr>
        <w:t xml:space="preserve">Développer des parcours de formation continue de 120 heures co-accrédités par l'IANOR, destinés aux cadres techniques des ETI. (Note : l'auteur a un intérêt institutionnel dans cette recommandation.)</w:t>
      </w:r>
    </w:p>
    <w:p>
      <w:pPr>
        <w:spacing w:after="60" w:before="160"/>
        <w:jc w:val="left"/>
      </w:pPr>
      <w:r>
        <w:rPr>
          <w:rFonts w:ascii="Times New Roman" w:cs="Times New Roman" w:eastAsia="Times New Roman" w:hAnsi="Times New Roman"/>
          <w:b/>
          <w:bCs/>
          <w:i w:val="false"/>
          <w:iCs w:val="false"/>
          <w:color w:val="111111"/>
          <w:sz w:val="24"/>
          <w:szCs w:val="24"/>
        </w:rPr>
        <w:t xml:space="preserve">9.3. Pour les donneurs d'ordre internationaux</w:t>
      </w:r>
    </w:p>
    <w:p>
      <w:pPr>
        <w:spacing w:after="60" w:before="60" w:line="360"/>
        <w:jc w:val="both"/>
      </w:pPr>
      <w:r>
        <w:rPr>
          <w:rFonts w:ascii="Times New Roman" w:cs="Times New Roman" w:eastAsia="Times New Roman" w:hAnsi="Times New Roman"/>
          <w:b/>
          <w:bCs/>
          <w:i w:val="false"/>
          <w:iCs w:val="false"/>
          <w:color w:val="111111"/>
          <w:sz w:val="24"/>
          <w:szCs w:val="24"/>
        </w:rPr>
        <w:t xml:space="preserve">R6 : </w:t>
      </w:r>
      <w:r>
        <w:rPr>
          <w:rFonts w:ascii="Times New Roman" w:cs="Times New Roman" w:eastAsia="Times New Roman" w:hAnsi="Times New Roman"/>
          <w:b w:val="false"/>
          <w:bCs w:val="false"/>
          <w:i w:val="false"/>
          <w:iCs w:val="false"/>
          <w:color w:val="111111"/>
          <w:sz w:val="24"/>
          <w:szCs w:val="24"/>
        </w:rPr>
        <w:t xml:space="preserve">Inclure des programmes d'accompagnement à la certification ISO 14001 dans les politiques d'achat responsable des entreprises européennes s'approvisionnant en Algérie (Total, ArcelorMittal, Lafarge). Modèle : pratiques en usage au Maroc et en Tunisie.</w:t>
      </w:r>
    </w:p>
    <w:p>
      <w:pPr>
        <w:spacing w:after="80" w:before="80"/>
      </w:pPr>
    </w:p>
    <w:p>
      <w:pPr>
        <w:spacing w:after="80" w:before="240"/>
        <w:jc w:val="left"/>
      </w:pPr>
      <w:r>
        <w:rPr>
          <w:rFonts w:ascii="Times New Roman" w:cs="Times New Roman" w:eastAsia="Times New Roman" w:hAnsi="Times New Roman"/>
          <w:b/>
          <w:bCs/>
          <w:i w:val="false"/>
          <w:iCs w:val="false"/>
          <w:color w:val="111111"/>
          <w:sz w:val="26"/>
          <w:szCs w:val="26"/>
        </w:rPr>
        <w:t xml:space="preserve">10. Conclusion</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123 certifications ISO 14001 pour un million d'entreprises. Le chiffre résume la situation. L'Algérie n'est pas en retard sur une tendance mondiale abstraite, elle est en retard sur le Maroc, la Tunisie, l'Égypte. Des pays qui ont fait de la certification environnementale un outil concret d'accès aux marchés internationaux.</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Cette étude a voulu comprendre pourquoi. En mobilisant le cadre de DiMaggio et Powell, on voit que les trois mécanismes qui font normalement diffuser une pratique (contrainte réglementaire, pression concurrentielle, pression professionnelle) sont tous faiblement activés en Algérie. Ce n'est pas un hasard. C'est un système cohérent.</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L'un des résultats qui mérite d'être retenu : une ETI algérienne qui respecte ses obligations réglementaires dispose déjà d'une part significative de l'infrastructure documentaire d'un SME ISO 14001. Les études d'impact, les mesures de rejets, les plans d'urgence, les déclarations annuelles comptent. La certification ne repart pas de zéro : elle organise et stabilise un capital qui existe mais n'est pas mobilisé.</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Minimiser les coûts serait malhonnête. La logique d'amélioration continue, la revue de direction, l'analyse du contexte organisationnel n'ont pas d'équivalent dans le droit algérien. Elles demandent une transformation réelle du fonctionnement interne. La résistance des dirigeants n'est pas irrationnelle dans un marché domestique qui ne valorise pas la certification.</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Le CBAM change ce calcul. Pas progressivement : brutalement. À partir de 2026, les exportateurs de ciment, d'acier et d'engrais vers l'Europe devront documenter leur empreinte carbone ou payer la taxe au taux maximum. ISO 14001 est exactement le cadre qui permet de construire cette documentation.</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Les limites de ce travail sont explicites : aucun entretien de terrain, données secondaires parfois contradictoires, auteur institutionnellement lié au secteur de la formation ISO. Les profils et mécanismes identifiés sont des hypothèses à tester. Une enquête par entretiens auprès de dirigeants d'ETI algériennes dans les wilayas industrielles d'Oran, Constantine et Annaba constitue la prochaine étape nécessaire.</w:t>
      </w:r>
    </w:p>
    <w:p>
      <w:pPr>
        <w:spacing w:after="60" w:before="60" w:line="360"/>
        <w:jc w:val="both"/>
      </w:pPr>
      <w:r>
        <w:rPr>
          <w:rFonts w:ascii="Times New Roman" w:cs="Times New Roman" w:eastAsia="Times New Roman" w:hAnsi="Times New Roman"/>
          <w:b w:val="false"/>
          <w:bCs w:val="false"/>
          <w:i w:val="false"/>
          <w:iCs w:val="false"/>
          <w:color w:val="111111"/>
          <w:sz w:val="24"/>
          <w:szCs w:val="24"/>
        </w:rPr>
        <w:t xml:space="preserve">Ce que l'on peut dire sans réserve : l'Algérie ne repart pas d'une page blanche. Elle a un capital réglementaire accumulé, des ingénieurs formés, un tissu industriel réel. La question est de savoir si ce capital sera mobilisé avant ou après que le CBAM transforme l'accès au marché européen.</w:t>
      </w:r>
    </w:p>
    <w:p>
      <w:pPr>
        <w:spacing w:after="120" w:before="120"/>
      </w:pPr>
    </w:p>
    <w:p>
      <w:r>
        <w:br w:type="page"/>
      </w:r>
    </w:p>
    <w:p>
      <w:pPr>
        <w:spacing w:after="80" w:before="240"/>
        <w:jc w:val="left"/>
      </w:pPr>
      <w:r>
        <w:rPr>
          <w:rFonts w:ascii="Times New Roman" w:cs="Times New Roman" w:eastAsia="Times New Roman" w:hAnsi="Times New Roman"/>
          <w:b/>
          <w:bCs/>
          <w:i w:val="false"/>
          <w:iCs w:val="false"/>
          <w:color w:val="111111"/>
          <w:sz w:val="26"/>
          <w:szCs w:val="26"/>
        </w:rPr>
        <w:t xml:space="preserve">Références bibliographiques. </w:t>
      </w:r>
    </w:p>
    <w:p>
      <w:pPr>
        <w:spacing w:after="30" w:before="30" w:line="360"/>
        <w:ind w:left="360" w:hanging="360"/>
        <w:jc w:val="both"/>
      </w:pPr>
      <w:r>
        <w:rPr>
          <w:rFonts w:ascii="Times New Roman" w:cs="Times New Roman" w:eastAsia="Times New Roman" w:hAnsi="Times New Roman"/>
          <w:b w:val="false"/>
          <w:bCs w:val="false"/>
          <w:i w:val="false"/>
          <w:iCs w:val="false"/>
          <w:color w:val="111111"/>
          <w:sz w:val="24"/>
          <w:szCs w:val="24"/>
        </w:rPr>
        <w:t xml:space="preserve">Arimura, T. H., Darnall, N., &amp; Katayama, H. (2011). Is ISO 14001 a gateway to more advanced voluntary action? The case of green supply chain management. Journal of Environmental Economics and Management, 61(2), 170-182.</w:t>
      </w:r>
    </w:p>
    <w:p>
      <w:pPr>
        <w:spacing w:after="30" w:before="30" w:line="360"/>
        <w:ind w:left="360" w:hanging="360"/>
        <w:jc w:val="both"/>
      </w:pPr>
      <w:r>
        <w:rPr>
          <w:rFonts w:ascii="Times New Roman" w:cs="Times New Roman" w:eastAsia="Times New Roman" w:hAnsi="Times New Roman"/>
          <w:b w:val="false"/>
          <w:bCs w:val="false"/>
          <w:i w:val="false"/>
          <w:iCs w:val="false"/>
          <w:color w:val="111111"/>
          <w:sz w:val="24"/>
          <w:szCs w:val="24"/>
        </w:rPr>
        <w:t xml:space="preserve">Banque d'Algérie (2024). Rapport annuel sur la balance des paiements 2023. Alger : Banque d'Algérie.</w:t>
      </w:r>
    </w:p>
    <w:p>
      <w:pPr>
        <w:spacing w:after="30" w:before="30" w:line="360"/>
        <w:ind w:left="360" w:hanging="360"/>
        <w:jc w:val="both"/>
      </w:pPr>
      <w:r>
        <w:rPr>
          <w:rFonts w:ascii="Times New Roman" w:cs="Times New Roman" w:eastAsia="Times New Roman" w:hAnsi="Times New Roman"/>
          <w:b w:val="false"/>
          <w:bCs w:val="false"/>
          <w:i w:val="false"/>
          <w:iCs w:val="false"/>
          <w:color w:val="111111"/>
          <w:sz w:val="24"/>
          <w:szCs w:val="24"/>
        </w:rPr>
        <w:t xml:space="preserve">Banque mondiale (2024). Situation économique de l'Algérie, Automne 2024 : Vers un cadre holistique en soutien aux exportations. Washington D.C. : Banque mondiale.</w:t>
      </w:r>
    </w:p>
    <w:p>
      <w:pPr>
        <w:spacing w:after="30" w:before="30" w:line="360"/>
        <w:ind w:left="360" w:hanging="360"/>
        <w:jc w:val="both"/>
      </w:pPr>
      <w:r>
        <w:rPr>
          <w:rFonts w:ascii="Times New Roman" w:cs="Times New Roman" w:eastAsia="Times New Roman" w:hAnsi="Times New Roman"/>
          <w:b w:val="false"/>
          <w:bCs w:val="false"/>
          <w:i w:val="false"/>
          <w:iCs w:val="false"/>
          <w:color w:val="111111"/>
          <w:sz w:val="24"/>
          <w:szCs w:val="24"/>
        </w:rPr>
        <w:t xml:space="preserve">Barney, J. B. (1991). Firm resources and sustained competitive advantage. Journal of Management, 17(1), 99-120.</w:t>
      </w:r>
    </w:p>
    <w:p>
      <w:pPr>
        <w:spacing w:after="30" w:before="30" w:line="360"/>
        <w:ind w:left="360" w:hanging="360"/>
        <w:jc w:val="both"/>
      </w:pPr>
      <w:r>
        <w:rPr>
          <w:rFonts w:ascii="Times New Roman" w:cs="Times New Roman" w:eastAsia="Times New Roman" w:hAnsi="Times New Roman"/>
          <w:b w:val="false"/>
          <w:bCs w:val="false"/>
          <w:i w:val="false"/>
          <w:iCs w:val="false"/>
          <w:color w:val="111111"/>
          <w:sz w:val="24"/>
          <w:szCs w:val="24"/>
        </w:rPr>
        <w:t xml:space="preserve">Boiral, O. (2007). Corporate greening through ISO 14001: A rational myth? Organization Science, 18(1), 127-146.</w:t>
      </w:r>
    </w:p>
    <w:p>
      <w:pPr>
        <w:spacing w:after="30" w:before="30" w:line="360"/>
        <w:ind w:left="360" w:hanging="360"/>
        <w:jc w:val="both"/>
      </w:pPr>
      <w:r>
        <w:rPr>
          <w:rFonts w:ascii="Times New Roman" w:cs="Times New Roman" w:eastAsia="Times New Roman" w:hAnsi="Times New Roman"/>
          <w:b w:val="false"/>
          <w:bCs w:val="false"/>
          <w:i w:val="false"/>
          <w:iCs w:val="false"/>
          <w:color w:val="111111"/>
          <w:sz w:val="24"/>
          <w:szCs w:val="24"/>
        </w:rPr>
        <w:t xml:space="preserve">Dasanayaka, S. W. S. B., Wedawatta, G., &amp; Sarathchandra, D. (2022). Barriers to ISO 14001 adoption in developing country manufacturing firms: A systematic review. Journal of Cleaner Production, 330, 129-145.</w:t>
      </w:r>
    </w:p>
    <w:p>
      <w:pPr>
        <w:spacing w:after="30" w:before="30" w:line="360"/>
        <w:ind w:left="360" w:hanging="360"/>
        <w:jc w:val="both"/>
      </w:pPr>
      <w:r>
        <w:rPr>
          <w:rFonts w:ascii="Times New Roman" w:cs="Times New Roman" w:eastAsia="Times New Roman" w:hAnsi="Times New Roman"/>
          <w:b w:val="false"/>
          <w:bCs w:val="false"/>
          <w:i w:val="false"/>
          <w:iCs w:val="false"/>
          <w:color w:val="111111"/>
          <w:sz w:val="24"/>
          <w:szCs w:val="24"/>
        </w:rPr>
        <w:t xml:space="preserve">DiMaggio, P. J., &amp; Powell, W. W. (1983). The iron cage revisited: Institutional isomorphism and collective rationality in organizational fields. American Sociological Review, 48(2), 147-160.</w:t>
      </w:r>
    </w:p>
    <w:p>
      <w:pPr>
        <w:spacing w:after="30" w:before="30" w:line="360"/>
        <w:ind w:left="360" w:hanging="360"/>
        <w:jc w:val="both"/>
      </w:pPr>
      <w:r>
        <w:rPr>
          <w:rFonts w:ascii="Times New Roman" w:cs="Times New Roman" w:eastAsia="Times New Roman" w:hAnsi="Times New Roman"/>
          <w:b w:val="false"/>
          <w:bCs w:val="false"/>
          <w:i w:val="false"/>
          <w:iCs w:val="false"/>
          <w:color w:val="111111"/>
          <w:sz w:val="24"/>
          <w:szCs w:val="24"/>
        </w:rPr>
        <w:t xml:space="preserve">Djeflat, A. (2021). Innovation et entreprises en Algérie: entre contraintes institutionnelles et potentialités. Revue Tiers Monde, 245(1), 45-68.</w:t>
      </w:r>
    </w:p>
    <w:p>
      <w:pPr>
        <w:spacing w:after="30" w:before="30" w:line="360"/>
        <w:ind w:left="360" w:hanging="360"/>
        <w:jc w:val="both"/>
      </w:pPr>
      <w:r>
        <w:rPr>
          <w:rFonts w:ascii="Times New Roman" w:cs="Times New Roman" w:eastAsia="Times New Roman" w:hAnsi="Times New Roman"/>
          <w:b w:val="false"/>
          <w:bCs w:val="false"/>
          <w:i w:val="false"/>
          <w:iCs w:val="false"/>
          <w:color w:val="111111"/>
          <w:sz w:val="24"/>
          <w:szCs w:val="24"/>
        </w:rPr>
        <w:t xml:space="preserve">Heras-Saizarbitoria, I., &amp; Boiral, O. (2013). ISO 9001 and ISO 14001: Towards a research agenda on management system standards. International Journal of Management Reviews, 15(1), 47-65.</w:t>
      </w:r>
    </w:p>
    <w:p>
      <w:pPr>
        <w:spacing w:after="30" w:before="30" w:line="360"/>
        <w:ind w:left="360" w:hanging="360"/>
        <w:jc w:val="both"/>
      </w:pPr>
      <w:r>
        <w:rPr>
          <w:rFonts w:ascii="Times New Roman" w:cs="Times New Roman" w:eastAsia="Times New Roman" w:hAnsi="Times New Roman"/>
          <w:b w:val="false"/>
          <w:bCs w:val="false"/>
          <w:i w:val="false"/>
          <w:iCs w:val="false"/>
          <w:color w:val="111111"/>
          <w:sz w:val="24"/>
          <w:szCs w:val="24"/>
        </w:rPr>
        <w:t xml:space="preserve">Hirata, T. (2024). Corporate environmental behavior toward sustainable development: Motivations, benefits, and challenges of ISO 14001 adoption at Japanese subsidiaries in Thailand. Business Strategy &amp; Development, 7(3).</w:t>
      </w:r>
    </w:p>
    <w:p>
      <w:pPr>
        <w:spacing w:after="30" w:before="30" w:line="360"/>
        <w:ind w:left="360" w:hanging="360"/>
        <w:jc w:val="both"/>
      </w:pPr>
      <w:r>
        <w:rPr>
          <w:rFonts w:ascii="Times New Roman" w:cs="Times New Roman" w:eastAsia="Times New Roman" w:hAnsi="Times New Roman"/>
          <w:b w:val="false"/>
          <w:bCs w:val="false"/>
          <w:i w:val="false"/>
          <w:iCs w:val="false"/>
          <w:color w:val="111111"/>
          <w:sz w:val="24"/>
          <w:szCs w:val="24"/>
        </w:rPr>
        <w:t xml:space="preserve">IANOR (2019). Rapport sur l'état de la normalisation et de la certification en Algérie. Alger : Institut Algérien de Normalisation.</w:t>
      </w:r>
    </w:p>
    <w:p>
      <w:pPr>
        <w:spacing w:after="30" w:before="30" w:line="360"/>
        <w:ind w:left="360" w:hanging="360"/>
        <w:jc w:val="both"/>
      </w:pPr>
      <w:r>
        <w:rPr>
          <w:rFonts w:ascii="Times New Roman" w:cs="Times New Roman" w:eastAsia="Times New Roman" w:hAnsi="Times New Roman"/>
          <w:b w:val="false"/>
          <w:bCs w:val="false"/>
          <w:i w:val="false"/>
          <w:iCs w:val="false"/>
          <w:color w:val="111111"/>
          <w:sz w:val="24"/>
          <w:szCs w:val="24"/>
        </w:rPr>
        <w:t xml:space="preserve">ISO (2023). The ISO Survey of Certifications 2023. Geneva: International Organization for Standardization.</w:t>
      </w:r>
    </w:p>
    <w:p>
      <w:pPr>
        <w:spacing w:after="30" w:before="30" w:line="360"/>
        <w:ind w:left="360" w:hanging="360"/>
        <w:jc w:val="both"/>
      </w:pPr>
      <w:r>
        <w:rPr>
          <w:rFonts w:ascii="Times New Roman" w:cs="Times New Roman" w:eastAsia="Times New Roman" w:hAnsi="Times New Roman"/>
          <w:b w:val="false"/>
          <w:bCs w:val="false"/>
          <w:i w:val="false"/>
          <w:iCs w:val="false"/>
          <w:color w:val="111111"/>
          <w:sz w:val="24"/>
          <w:szCs w:val="24"/>
        </w:rPr>
        <w:t xml:space="preserve">Khelfaoui, H. (2018). L'entreprise algérienne face aux défis de la mondialisation. Alger : Office des Publications Universitaires.</w:t>
      </w:r>
    </w:p>
    <w:p>
      <w:pPr>
        <w:spacing w:after="30" w:before="30" w:line="360"/>
        <w:ind w:left="360" w:hanging="360"/>
        <w:jc w:val="both"/>
      </w:pPr>
      <w:r>
        <w:rPr>
          <w:rFonts w:ascii="Times New Roman" w:cs="Times New Roman" w:eastAsia="Times New Roman" w:hAnsi="Times New Roman"/>
          <w:b w:val="false"/>
          <w:bCs w:val="false"/>
          <w:i w:val="false"/>
          <w:iCs w:val="false"/>
          <w:color w:val="111111"/>
          <w:sz w:val="24"/>
          <w:szCs w:val="24"/>
        </w:rPr>
        <w:t xml:space="preserve">Melnyk, S. A., Sroufe, R. P., &amp; Calantone, R. (2003). Assessing the impact of environmental management systems on corporate and environmental performance. Journal of Operations Management, 21(3), 329-351.</w:t>
      </w:r>
    </w:p>
    <w:p>
      <w:pPr>
        <w:spacing w:after="30" w:before="30" w:line="360"/>
        <w:ind w:left="360" w:hanging="360"/>
        <w:jc w:val="both"/>
      </w:pPr>
      <w:r>
        <w:rPr>
          <w:rFonts w:ascii="Times New Roman" w:cs="Times New Roman" w:eastAsia="Times New Roman" w:hAnsi="Times New Roman"/>
          <w:b w:val="false"/>
          <w:bCs w:val="false"/>
          <w:i w:val="false"/>
          <w:iCs w:val="false"/>
          <w:color w:val="111111"/>
          <w:sz w:val="24"/>
          <w:szCs w:val="24"/>
        </w:rPr>
        <w:t xml:space="preserve">Meziani, R., &amp; Abbad, H. (2019). L'impact de la certification ISO 14001 sur la performance environnementale de l'entreprise dans le contexte algérien. Revue du Contrôle, de la Comptabilité et de l'Audit, 4(3), 606-629.</w:t>
      </w:r>
    </w:p>
    <w:p>
      <w:pPr>
        <w:spacing w:after="30" w:before="30" w:line="360"/>
        <w:ind w:left="360" w:hanging="360"/>
        <w:jc w:val="both"/>
      </w:pPr>
      <w:r>
        <w:rPr>
          <w:rFonts w:ascii="Times New Roman" w:cs="Times New Roman" w:eastAsia="Times New Roman" w:hAnsi="Times New Roman"/>
          <w:b w:val="false"/>
          <w:bCs w:val="false"/>
          <w:i w:val="false"/>
          <w:iCs w:val="false"/>
          <w:color w:val="111111"/>
          <w:sz w:val="24"/>
          <w:szCs w:val="24"/>
        </w:rPr>
        <w:t xml:space="preserve">Nawrocka, D., &amp; Parker, T. (2009). Finding the connection: Environmental management systems and environmental performance. Journal of Cleaner Production, 17(6), 601-607.</w:t>
      </w:r>
    </w:p>
    <w:p>
      <w:pPr>
        <w:spacing w:after="30" w:before="30" w:line="360"/>
        <w:ind w:left="360" w:hanging="360"/>
        <w:jc w:val="both"/>
      </w:pPr>
      <w:r>
        <w:rPr>
          <w:rFonts w:ascii="Times New Roman" w:cs="Times New Roman" w:eastAsia="Times New Roman" w:hAnsi="Times New Roman"/>
          <w:b w:val="false"/>
          <w:bCs w:val="false"/>
          <w:i w:val="false"/>
          <w:iCs w:val="false"/>
          <w:color w:val="111111"/>
          <w:sz w:val="24"/>
          <w:szCs w:val="24"/>
        </w:rPr>
        <w:t xml:space="preserve">Treacy, R., Humphreys, P., McIvor, R., &amp; Lo, C. (2019). ISO 14001 certification and operating performance: A practice-based view. International Journal of Production Economics, 208, 319-328.</w:t>
      </w:r>
    </w:p>
    <w:p>
      <w:pPr>
        <w:spacing w:after="30" w:before="30" w:line="360"/>
        <w:ind w:left="360" w:hanging="360"/>
        <w:jc w:val="both"/>
      </w:pPr>
      <w:r>
        <w:rPr>
          <w:rFonts w:ascii="Times New Roman" w:cs="Times New Roman" w:eastAsia="Times New Roman" w:hAnsi="Times New Roman"/>
          <w:b w:val="false"/>
          <w:bCs w:val="false"/>
          <w:i w:val="false"/>
          <w:iCs w:val="false"/>
          <w:color w:val="111111"/>
          <w:sz w:val="24"/>
          <w:szCs w:val="24"/>
        </w:rPr>
        <w:t xml:space="preserve">Union européenne (2023). Règlement (UE) 2023/956 du Parlement européen et du Conseil établissant un mécanisme d'ajustement carbone aux frontières. Journal officiel de l'Union européenne, L 130, 52-104.</w:t>
      </w:r>
    </w:p>
    <w:sectPr>
      <w:pgSz w:w="11906" w:h="16838" w:orient="portrait"/>
      <w:pgMar w:top="1400" w:right="1400" w:bottom="1400" w:left="14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111111"/>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2026-06-05T13:52:32.981Z</dcterms:created>
  <dcterms:modified xsi:type="dcterms:W3CDTF">2026-06-05T13:52:32.982Z</dcterms:modified>
</cp:coreProperties>
</file>

<file path=docProps/custom.xml><?xml version="1.0" encoding="utf-8"?>
<Properties xmlns="http://schemas.openxmlformats.org/officeDocument/2006/custom-properties" xmlns:vt="http://schemas.openxmlformats.org/officeDocument/2006/docPropsVTypes"/>
</file>